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2F" w:rsidRPr="006B61E4" w:rsidRDefault="0085712F" w:rsidP="0085712F">
      <w:pPr>
        <w:jc w:val="right"/>
        <w:rPr>
          <w:lang w:val="en-GB"/>
        </w:rPr>
      </w:pPr>
      <w:r>
        <w:rPr>
          <w:noProof/>
        </w:rPr>
        <w:drawing>
          <wp:anchor distT="0" distB="0" distL="114300" distR="114300" simplePos="0" relativeHeight="251659264" behindDoc="1" locked="0" layoutInCell="1" allowOverlap="1" wp14:anchorId="6C92C66F" wp14:editId="55D381D7">
            <wp:simplePos x="0" y="0"/>
            <wp:positionH relativeFrom="column">
              <wp:posOffset>5246370</wp:posOffset>
            </wp:positionH>
            <wp:positionV relativeFrom="paragraph">
              <wp:posOffset>-87630</wp:posOffset>
            </wp:positionV>
            <wp:extent cx="543560" cy="1319530"/>
            <wp:effectExtent l="0" t="0" r="0" b="0"/>
            <wp:wrapTight wrapText="bothSides">
              <wp:wrapPolygon edited="0">
                <wp:start x="0" y="0"/>
                <wp:lineTo x="0" y="17775"/>
                <wp:lineTo x="3028" y="19958"/>
                <wp:lineTo x="3028" y="20581"/>
                <wp:lineTo x="8327" y="21205"/>
                <wp:lineTo x="13626" y="21205"/>
                <wp:lineTo x="16654" y="21205"/>
                <wp:lineTo x="17411" y="19958"/>
                <wp:lineTo x="21196" y="17775"/>
                <wp:lineTo x="21196" y="0"/>
                <wp:lineTo x="0" y="0"/>
              </wp:wrapPolygon>
            </wp:wrapTight>
            <wp:docPr id="1" name="Picture 1" descr="cid:image002.png@01CDA538.2977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A538.297705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356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28F624" wp14:editId="74777F2B">
            <wp:simplePos x="0" y="0"/>
            <wp:positionH relativeFrom="column">
              <wp:posOffset>12700</wp:posOffset>
            </wp:positionH>
            <wp:positionV relativeFrom="paragraph">
              <wp:posOffset>-121920</wp:posOffset>
            </wp:positionV>
            <wp:extent cx="1196340" cy="800735"/>
            <wp:effectExtent l="0" t="0" r="0" b="0"/>
            <wp:wrapTight wrapText="bothSides">
              <wp:wrapPolygon edited="0">
                <wp:start x="0" y="0"/>
                <wp:lineTo x="0" y="21069"/>
                <wp:lineTo x="21325" y="21069"/>
                <wp:lineTo x="21325" y="0"/>
                <wp:lineTo x="0" y="0"/>
              </wp:wrapPolygon>
            </wp:wrapTight>
            <wp:docPr id="2"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raq.sv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634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12F" w:rsidRPr="006B61E4" w:rsidRDefault="0085712F" w:rsidP="0085712F">
      <w:pPr>
        <w:rPr>
          <w:sz w:val="28"/>
          <w:szCs w:val="28"/>
          <w:lang w:val="en-GB"/>
        </w:rPr>
      </w:pPr>
    </w:p>
    <w:p w:rsidR="0085712F" w:rsidRDefault="0085712F" w:rsidP="0085712F">
      <w:pPr>
        <w:pStyle w:val="BodyText"/>
        <w:ind w:left="660"/>
        <w:jc w:val="center"/>
        <w:rPr>
          <w:b/>
          <w:sz w:val="28"/>
          <w:szCs w:val="28"/>
          <w:lang w:val="en-GB"/>
        </w:rPr>
      </w:pPr>
      <w:bookmarkStart w:id="0" w:name="_Toc153888542"/>
      <w:bookmarkStart w:id="1" w:name="_Toc153888630"/>
      <w:bookmarkStart w:id="2" w:name="_Toc154140520"/>
      <w:bookmarkStart w:id="3" w:name="_Toc154140575"/>
    </w:p>
    <w:p w:rsidR="0085712F" w:rsidRDefault="0085712F" w:rsidP="0085712F">
      <w:pPr>
        <w:pStyle w:val="BodyText"/>
        <w:ind w:left="660"/>
        <w:jc w:val="center"/>
        <w:rPr>
          <w:b/>
          <w:sz w:val="28"/>
          <w:szCs w:val="28"/>
          <w:lang w:val="en-GB"/>
        </w:rPr>
      </w:pPr>
    </w:p>
    <w:p w:rsidR="0085712F" w:rsidRDefault="0085712F" w:rsidP="0085712F">
      <w:pPr>
        <w:pStyle w:val="BodyText"/>
        <w:spacing w:after="0"/>
        <w:ind w:left="660"/>
        <w:jc w:val="center"/>
        <w:rPr>
          <w:b/>
          <w:sz w:val="28"/>
          <w:szCs w:val="28"/>
          <w:lang w:val="en-GB"/>
        </w:rPr>
      </w:pPr>
    </w:p>
    <w:p w:rsidR="0085712F" w:rsidRPr="006B61E4" w:rsidRDefault="0085712F" w:rsidP="0085712F">
      <w:pPr>
        <w:pStyle w:val="BodyText"/>
        <w:spacing w:after="0"/>
        <w:ind w:left="660"/>
        <w:jc w:val="center"/>
        <w:rPr>
          <w:b/>
          <w:sz w:val="28"/>
          <w:szCs w:val="28"/>
          <w:lang w:val="en-GB"/>
        </w:rPr>
      </w:pPr>
      <w:r w:rsidRPr="006B61E4">
        <w:rPr>
          <w:b/>
          <w:sz w:val="28"/>
          <w:szCs w:val="28"/>
          <w:lang w:val="en-GB"/>
        </w:rPr>
        <w:t xml:space="preserve">United Nations Development </w:t>
      </w:r>
      <w:r>
        <w:rPr>
          <w:b/>
          <w:sz w:val="28"/>
          <w:szCs w:val="28"/>
          <w:lang w:val="en-GB"/>
        </w:rPr>
        <w:t>Programme Iraq</w:t>
      </w:r>
      <w:bookmarkEnd w:id="0"/>
      <w:bookmarkEnd w:id="1"/>
      <w:bookmarkEnd w:id="2"/>
      <w:bookmarkEnd w:id="3"/>
    </w:p>
    <w:p w:rsidR="00852A04" w:rsidRPr="00526BDB" w:rsidRDefault="00852A04" w:rsidP="00852A04">
      <w:pPr>
        <w:pStyle w:val="BodyText"/>
        <w:spacing w:after="0"/>
        <w:ind w:left="660"/>
        <w:jc w:val="center"/>
        <w:rPr>
          <w:rFonts w:asciiTheme="minorHAnsi" w:hAnsiTheme="minorHAnsi"/>
          <w:b/>
          <w:sz w:val="28"/>
          <w:szCs w:val="28"/>
          <w:lang w:val="en-GB"/>
        </w:rPr>
      </w:pPr>
      <w:bookmarkStart w:id="4" w:name="_Toc153888545"/>
      <w:bookmarkStart w:id="5" w:name="_Toc153888633"/>
      <w:bookmarkStart w:id="6" w:name="_Toc154140524"/>
      <w:bookmarkStart w:id="7" w:name="_Toc154140579"/>
      <w:r w:rsidRPr="00526BDB">
        <w:rPr>
          <w:rFonts w:asciiTheme="minorHAnsi" w:hAnsiTheme="minorHAnsi"/>
          <w:b/>
          <w:sz w:val="28"/>
          <w:szCs w:val="28"/>
          <w:lang w:val="en-GB"/>
        </w:rPr>
        <w:t>Iraq National Human Development Report (NHDR) 2014 n Youth</w:t>
      </w:r>
    </w:p>
    <w:p w:rsidR="0085712F" w:rsidRPr="00B97443" w:rsidRDefault="0085712F" w:rsidP="0085712F">
      <w:pPr>
        <w:pStyle w:val="BodyText"/>
        <w:spacing w:after="0"/>
        <w:ind w:left="660"/>
        <w:jc w:val="center"/>
        <w:rPr>
          <w:b/>
          <w:sz w:val="28"/>
          <w:szCs w:val="28"/>
          <w:lang w:val="en-GB"/>
        </w:rPr>
      </w:pPr>
    </w:p>
    <w:p w:rsidR="0085712F" w:rsidRDefault="0085712F" w:rsidP="0085712F">
      <w:pPr>
        <w:tabs>
          <w:tab w:val="center" w:pos="4828"/>
          <w:tab w:val="left" w:pos="6835"/>
        </w:tabs>
        <w:ind w:left="630"/>
        <w:rPr>
          <w:b/>
          <w:smallCaps/>
          <w:sz w:val="28"/>
          <w:szCs w:val="28"/>
        </w:rPr>
      </w:pPr>
      <w:r>
        <w:rPr>
          <w:b/>
          <w:smallCaps/>
          <w:sz w:val="28"/>
          <w:szCs w:val="28"/>
        </w:rPr>
        <w:tab/>
        <w:t>Annual Progress Report</w:t>
      </w:r>
      <w:r w:rsidR="00026A70">
        <w:rPr>
          <w:b/>
          <w:smallCaps/>
          <w:sz w:val="28"/>
          <w:szCs w:val="28"/>
        </w:rPr>
        <w:t xml:space="preserve"> 2014</w:t>
      </w:r>
      <w:r>
        <w:rPr>
          <w:b/>
          <w:smallCaps/>
          <w:sz w:val="28"/>
          <w:szCs w:val="28"/>
        </w:rPr>
        <w:tab/>
      </w:r>
    </w:p>
    <w:p w:rsidR="0085712F" w:rsidRPr="006B61E4" w:rsidRDefault="0085712F" w:rsidP="0085712F">
      <w:pPr>
        <w:tabs>
          <w:tab w:val="center" w:pos="4828"/>
          <w:tab w:val="left" w:pos="6835"/>
        </w:tabs>
        <w:ind w:left="630"/>
        <w:rPr>
          <w:b/>
          <w:smallCaps/>
          <w:sz w:val="28"/>
          <w:szCs w:val="28"/>
          <w:lang w:val="en-GB"/>
        </w:rPr>
      </w:pPr>
    </w:p>
    <w:bookmarkEnd w:id="4"/>
    <w:bookmarkEnd w:id="5"/>
    <w:bookmarkEnd w:id="6"/>
    <w:bookmarkEnd w:id="7"/>
    <w:p w:rsidR="0085712F" w:rsidRDefault="00341D2F" w:rsidP="0085712F">
      <w:pPr>
        <w:jc w:val="center"/>
        <w:rPr>
          <w:rFonts w:cs="Arial"/>
          <w:bCs/>
          <w:sz w:val="20"/>
          <w:szCs w:val="20"/>
          <w:lang w:val="en-GB"/>
        </w:rPr>
      </w:pPr>
      <w:r>
        <w:rPr>
          <w:rFonts w:cs="Arial"/>
          <w:bCs/>
          <w:noProof/>
          <w:sz w:val="20"/>
          <w:szCs w:val="20"/>
        </w:rPr>
        <w:drawing>
          <wp:inline distT="0" distB="0" distL="0" distR="0" wp14:anchorId="11B13734" wp14:editId="569F86B4">
            <wp:extent cx="4729480" cy="3459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gspeech2.jpg"/>
                    <pic:cNvPicPr/>
                  </pic:nvPicPr>
                  <pic:blipFill>
                    <a:blip r:embed="rId14">
                      <a:extLst>
                        <a:ext uri="{28A0092B-C50C-407E-A947-70E740481C1C}">
                          <a14:useLocalDpi xmlns:a14="http://schemas.microsoft.com/office/drawing/2010/main" val="0"/>
                        </a:ext>
                      </a:extLst>
                    </a:blip>
                    <a:stretch>
                      <a:fillRect/>
                    </a:stretch>
                  </pic:blipFill>
                  <pic:spPr>
                    <a:xfrm>
                      <a:off x="0" y="0"/>
                      <a:ext cx="4729480" cy="3459480"/>
                    </a:xfrm>
                    <a:prstGeom prst="rect">
                      <a:avLst/>
                    </a:prstGeom>
                  </pic:spPr>
                </pic:pic>
              </a:graphicData>
            </a:graphic>
          </wp:inline>
        </w:drawing>
      </w:r>
    </w:p>
    <w:p w:rsidR="004B45D7" w:rsidRPr="004B45D7" w:rsidRDefault="004B45D7" w:rsidP="00341D2F">
      <w:pPr>
        <w:jc w:val="center"/>
        <w:rPr>
          <w:rFonts w:cs="Arial"/>
          <w:b/>
          <w:sz w:val="18"/>
          <w:szCs w:val="18"/>
          <w:lang w:val="en-GB"/>
        </w:rPr>
      </w:pPr>
      <w:r w:rsidRPr="004B45D7">
        <w:rPr>
          <w:rFonts w:cs="Arial"/>
          <w:b/>
          <w:sz w:val="18"/>
          <w:szCs w:val="18"/>
          <w:lang w:val="en-GB"/>
        </w:rPr>
        <w:t xml:space="preserve">Special Representative of the UN Secretary General, </w:t>
      </w:r>
      <w:proofErr w:type="spellStart"/>
      <w:r w:rsidRPr="004B45D7">
        <w:rPr>
          <w:rFonts w:cs="Arial"/>
          <w:b/>
          <w:sz w:val="18"/>
          <w:szCs w:val="18"/>
          <w:lang w:val="en-GB"/>
        </w:rPr>
        <w:t>Mr.</w:t>
      </w:r>
      <w:proofErr w:type="spellEnd"/>
      <w:r w:rsidRPr="004B45D7">
        <w:rPr>
          <w:rFonts w:cs="Arial"/>
          <w:b/>
          <w:sz w:val="18"/>
          <w:szCs w:val="18"/>
          <w:lang w:val="en-GB"/>
        </w:rPr>
        <w:t xml:space="preserve"> Nikolay Mladenov launching the Iraq NHDR 2014</w:t>
      </w:r>
    </w:p>
    <w:p w:rsidR="0085712F" w:rsidRDefault="00341D2F" w:rsidP="0085712F">
      <w:pPr>
        <w:jc w:val="center"/>
        <w:rPr>
          <w:rFonts w:cs="Arial"/>
          <w:bCs/>
          <w:sz w:val="20"/>
          <w:szCs w:val="20"/>
          <w:lang w:val="en-GB"/>
        </w:rPr>
      </w:pPr>
      <w:r w:rsidRPr="004B45D7">
        <w:rPr>
          <w:rFonts w:cs="Arial"/>
          <w:bCs/>
          <w:noProof/>
          <w:sz w:val="20"/>
          <w:szCs w:val="20"/>
        </w:rPr>
        <mc:AlternateContent>
          <mc:Choice Requires="wps">
            <w:drawing>
              <wp:anchor distT="0" distB="0" distL="114300" distR="114300" simplePos="0" relativeHeight="251663360" behindDoc="0" locked="0" layoutInCell="1" allowOverlap="1" wp14:anchorId="5DAB23E4" wp14:editId="098CD658">
                <wp:simplePos x="0" y="0"/>
                <wp:positionH relativeFrom="column">
                  <wp:posOffset>1208405</wp:posOffset>
                </wp:positionH>
                <wp:positionV relativeFrom="paragraph">
                  <wp:posOffset>126365</wp:posOffset>
                </wp:positionV>
                <wp:extent cx="3138805" cy="21780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217805"/>
                        </a:xfrm>
                        <a:prstGeom prst="rect">
                          <a:avLst/>
                        </a:prstGeom>
                        <a:solidFill>
                          <a:schemeClr val="accent6">
                            <a:lumMod val="40000"/>
                            <a:lumOff val="60000"/>
                          </a:schemeClr>
                        </a:solidFill>
                        <a:ln w="9525">
                          <a:noFill/>
                          <a:miter lim="800000"/>
                          <a:headEnd/>
                          <a:tailEnd/>
                        </a:ln>
                      </wps:spPr>
                      <wps:txbx>
                        <w:txbxContent>
                          <w:p w:rsidR="00BF6051" w:rsidRPr="004B45D7" w:rsidRDefault="00BF6051" w:rsidP="004B45D7">
                            <w:pPr>
                              <w:rPr>
                                <w:b/>
                                <w:bCs/>
                                <w:sz w:val="16"/>
                                <w:szCs w:val="18"/>
                              </w:rPr>
                            </w:pPr>
                            <w:hyperlink r:id="rId15" w:history="1">
                              <w:r w:rsidRPr="004B45D7">
                                <w:rPr>
                                  <w:rStyle w:val="Hyperlink"/>
                                  <w:b/>
                                  <w:bCs/>
                                  <w:sz w:val="16"/>
                                  <w:szCs w:val="18"/>
                                </w:rPr>
                                <w:t>The full text of the Iraq NHDR 2014 could be accessed on this link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15pt;margin-top:9.95pt;width:247.15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g8PAIAAFsEAAAOAAAAZHJzL2Uyb0RvYy54bWysVNuO2yAQfa/Uf0C8N3ac61pxVttst6q0&#10;vUi7/QCCcYwKDAUSO/36HXCSTdu3qn5AMAxnzpyZ8eq214ochPMSTEXHo5wSYTjU0uwq+v354d2S&#10;Eh+YqZkCIyp6FJ7ert++WXW2FAW0oGrhCIIYX3a2om0Itswyz1uhmR+BFQYvG3CaBTy6XVY71iG6&#10;VlmR5/OsA1dbB1x4j9b74ZKuE37TCB6+No0XgaiKIreQVpfWbVyz9YqVO8dsK/mJBvsHFppJg0Ev&#10;UPcsMLJ38i8oLbkDD00YcdAZNI3kIuWA2YzzP7J5apkVKRcUx9uLTP7/wfIvh2+OyLqik3xBiWEa&#10;i/Qs+kDeQ0+KqE9nfYluTxYdQ49mrHPK1dtH4D88MbBpmdmJO+egawWrkd84vsyung44PoJsu89Q&#10;Yxi2D5CA+sbpKB7KQRAd63S81CZS4WicjCfLZT6jhONdMV7EfQzByvNr63z4KECTuKmow9ondHZ4&#10;9GFwPbvEYB6UrB+kUukQ+01slCMHhp3COBcmzNNztddId7BPc/yGnkEzdtZgnp/NyCZ1bkRK3H4L&#10;ogzpKnozK2YJ2ECMjsRYqWXAKVBSV3QZsU4xopYfTJ1cApNq2GMQZU7iRj0HZUO/7dExKr6F+ogy&#10;Oxi6HacTNy24X5R02OkV9T/3zAlK1CeDpboZT6dxNNJhOlsUeHDXN9vrG2Y4QlU0UDJsNyGNU0zD&#10;wB2WtJFJ7VcmJ67YwUmT07TFEbk+J6/Xf8L6BQAA//8DAFBLAwQUAAYACAAAACEAMbaYtt8AAAAJ&#10;AQAADwAAAGRycy9kb3ducmV2LnhtbEyPy07DMBBF90j8gzVI7KjzKKENcSpA6gKhLhpQ1248TQL2&#10;OIrdJPw97qrs5mqO7pwpNrPRbMTBdZYExIsIGFJtVUeNgK/P7cMKmPOSlNSWUMAvOtiUtzeFzJWd&#10;aI9j5RsWSsjlUkDrfZ9z7uoWjXQL2yOF3ckORvoQh4arQU6h3GieRFHGjewoXGhlj28t1j/V2Qjw&#10;+hCn1W77EX8n09NufE/34ysJcX83vzwD8zj7KwwX/aAOZXA62jMpx3TI6ygN6GVYAwtAtlpmwI4C&#10;HpcJ8LLg/z8o/wAAAP//AwBQSwECLQAUAAYACAAAACEAtoM4kv4AAADhAQAAEwAAAAAAAAAAAAAA&#10;AAAAAAAAW0NvbnRlbnRfVHlwZXNdLnhtbFBLAQItABQABgAIAAAAIQA4/SH/1gAAAJQBAAALAAAA&#10;AAAAAAAAAAAAAC8BAABfcmVscy8ucmVsc1BLAQItABQABgAIAAAAIQAcVLg8PAIAAFsEAAAOAAAA&#10;AAAAAAAAAAAAAC4CAABkcnMvZTJvRG9jLnhtbFBLAQItABQABgAIAAAAIQAxtpi23wAAAAkBAAAP&#10;AAAAAAAAAAAAAAAAAJYEAABkcnMvZG93bnJldi54bWxQSwUGAAAAAAQABADzAAAAogUAAAAA&#10;" fillcolor="#fbd4b4 [1305]" stroked="f">
                <v:textbox>
                  <w:txbxContent>
                    <w:p w:rsidR="00BF6051" w:rsidRPr="004B45D7" w:rsidRDefault="00BF6051" w:rsidP="004B45D7">
                      <w:pPr>
                        <w:rPr>
                          <w:b/>
                          <w:bCs/>
                          <w:sz w:val="16"/>
                          <w:szCs w:val="18"/>
                        </w:rPr>
                      </w:pPr>
                      <w:hyperlink r:id="rId16" w:history="1">
                        <w:r w:rsidRPr="004B45D7">
                          <w:rPr>
                            <w:rStyle w:val="Hyperlink"/>
                            <w:b/>
                            <w:bCs/>
                            <w:sz w:val="16"/>
                            <w:szCs w:val="18"/>
                          </w:rPr>
                          <w:t>The full text of the Iraq NHDR 2014 could be accessed on this link</w:t>
                        </w:r>
                      </w:hyperlink>
                    </w:p>
                  </w:txbxContent>
                </v:textbox>
              </v:shape>
            </w:pict>
          </mc:Fallback>
        </mc:AlternateContent>
      </w:r>
      <w:r>
        <w:rPr>
          <w:rFonts w:cs="Arial"/>
          <w:bCs/>
          <w:noProof/>
          <w:sz w:val="20"/>
          <w:szCs w:val="20"/>
        </w:rPr>
        <w:drawing>
          <wp:anchor distT="0" distB="0" distL="114300" distR="114300" simplePos="0" relativeHeight="251661312" behindDoc="0" locked="0" layoutInCell="1" allowOverlap="1" wp14:anchorId="28C46FE7" wp14:editId="1305B987">
            <wp:simplePos x="0" y="0"/>
            <wp:positionH relativeFrom="column">
              <wp:posOffset>512606</wp:posOffset>
            </wp:positionH>
            <wp:positionV relativeFrom="paragraph">
              <wp:posOffset>111125</wp:posOffset>
            </wp:positionV>
            <wp:extent cx="693420" cy="866140"/>
            <wp:effectExtent l="0" t="0" r="0" b="0"/>
            <wp:wrapNone/>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3420" cy="866140"/>
                    </a:xfrm>
                    <a:prstGeom prst="rect">
                      <a:avLst/>
                    </a:prstGeom>
                  </pic:spPr>
                </pic:pic>
              </a:graphicData>
            </a:graphic>
            <wp14:sizeRelH relativeFrom="page">
              <wp14:pctWidth>0</wp14:pctWidth>
            </wp14:sizeRelH>
            <wp14:sizeRelV relativeFrom="page">
              <wp14:pctHeight>0</wp14:pctHeight>
            </wp14:sizeRelV>
          </wp:anchor>
        </w:drawing>
      </w:r>
    </w:p>
    <w:p w:rsidR="0085712F" w:rsidRDefault="0085712F" w:rsidP="0085712F">
      <w:pPr>
        <w:jc w:val="center"/>
        <w:rPr>
          <w:rFonts w:cs="Arial"/>
          <w:bCs/>
          <w:sz w:val="20"/>
          <w:szCs w:val="20"/>
        </w:rPr>
      </w:pPr>
    </w:p>
    <w:p w:rsidR="0085712F" w:rsidRDefault="0085712F" w:rsidP="0085712F">
      <w:pPr>
        <w:jc w:val="center"/>
        <w:rPr>
          <w:rFonts w:cs="Arial"/>
          <w:bCs/>
          <w:sz w:val="20"/>
          <w:szCs w:val="20"/>
          <w:lang w:val="en-GB"/>
        </w:rPr>
      </w:pPr>
    </w:p>
    <w:p w:rsidR="0085712F" w:rsidRDefault="0085712F" w:rsidP="0085712F">
      <w:pPr>
        <w:jc w:val="center"/>
        <w:rPr>
          <w:rFonts w:cs="Arial"/>
          <w:bCs/>
          <w:sz w:val="20"/>
          <w:szCs w:val="20"/>
          <w:lang w:val="en-GB"/>
        </w:rPr>
      </w:pPr>
    </w:p>
    <w:p w:rsidR="00341D2F" w:rsidRDefault="00341D2F" w:rsidP="0085712F">
      <w:pPr>
        <w:jc w:val="center"/>
        <w:rPr>
          <w:rFonts w:cs="Arial"/>
          <w:bCs/>
          <w:sz w:val="20"/>
          <w:szCs w:val="20"/>
          <w:lang w:val="en-GB"/>
        </w:rPr>
      </w:pPr>
    </w:p>
    <w:p w:rsidR="00341D2F" w:rsidRDefault="00341D2F" w:rsidP="0085712F">
      <w:pPr>
        <w:jc w:val="center"/>
        <w:rPr>
          <w:rFonts w:cs="Arial"/>
          <w:bCs/>
          <w:sz w:val="20"/>
          <w:szCs w:val="20"/>
          <w:lang w:val="en-GB"/>
        </w:rPr>
      </w:pPr>
    </w:p>
    <w:p w:rsidR="00341D2F" w:rsidRDefault="00341D2F" w:rsidP="0085712F">
      <w:pPr>
        <w:jc w:val="center"/>
        <w:rPr>
          <w:rFonts w:cs="Arial"/>
          <w:bCs/>
          <w:sz w:val="20"/>
          <w:szCs w:val="20"/>
          <w:lang w:val="en-GB"/>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76"/>
        <w:gridCol w:w="6946"/>
      </w:tblGrid>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Project Title:</w:t>
            </w:r>
          </w:p>
        </w:tc>
        <w:tc>
          <w:tcPr>
            <w:tcW w:w="6946" w:type="dxa"/>
            <w:tcBorders>
              <w:left w:val="dotted" w:sz="4" w:space="0" w:color="auto"/>
            </w:tcBorders>
            <w:shd w:val="clear" w:color="auto" w:fill="auto"/>
          </w:tcPr>
          <w:p w:rsidR="00341D2F" w:rsidRPr="00526BDB" w:rsidRDefault="00341D2F" w:rsidP="00026A70">
            <w:pPr>
              <w:rPr>
                <w:rFonts w:asciiTheme="minorHAnsi" w:hAnsiTheme="minorHAnsi"/>
                <w:bCs/>
                <w:sz w:val="20"/>
                <w:szCs w:val="20"/>
                <w:lang w:val="en-GB"/>
              </w:rPr>
            </w:pPr>
            <w:r>
              <w:rPr>
                <w:rFonts w:asciiTheme="minorHAnsi" w:hAnsiTheme="minorHAnsi"/>
                <w:bCs/>
                <w:sz w:val="20"/>
                <w:szCs w:val="20"/>
                <w:lang w:val="en-GB"/>
              </w:rPr>
              <w:t>Iraq NHDR III 2014</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UNDP Project #:</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00075295</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Project Duration:</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1 Oct 2011 – 31 Dec 2014</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Project Resources:</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TRAC 1: USD 684,785, 11888 USD 390,00</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UNDP Iraq Focal Point:</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Khalid M. Khalid</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UNDAF Outcome(s)</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Outcome 5.1, 5.2,  5.3, 5.4</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CP Outcome(s):</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Outcome 4</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Output(s):</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Iraq NHDR 2014, Policy Paper, Communication Strategy, HD and Youth Networks</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Implementing Partner:</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Direct Implementation</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Responsible Partner:</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 xml:space="preserve">Bayt </w:t>
            </w:r>
            <w:proofErr w:type="spellStart"/>
            <w:r w:rsidRPr="00526BDB">
              <w:rPr>
                <w:rFonts w:asciiTheme="minorHAnsi" w:hAnsiTheme="minorHAnsi"/>
                <w:bCs/>
                <w:sz w:val="20"/>
                <w:szCs w:val="20"/>
                <w:lang w:val="en-GB"/>
              </w:rPr>
              <w:t>Alhikma</w:t>
            </w:r>
            <w:proofErr w:type="spellEnd"/>
            <w:r w:rsidRPr="00526BDB">
              <w:rPr>
                <w:rFonts w:asciiTheme="minorHAnsi" w:hAnsiTheme="minorHAnsi"/>
                <w:bCs/>
                <w:sz w:val="20"/>
                <w:szCs w:val="20"/>
                <w:lang w:val="en-GB"/>
              </w:rPr>
              <w:t xml:space="preserve">, Iraq </w:t>
            </w:r>
            <w:r w:rsidRPr="00526BDB">
              <w:rPr>
                <w:rFonts w:asciiTheme="minorHAnsi" w:hAnsiTheme="minorHAnsi"/>
                <w:bCs/>
                <w:sz w:val="18"/>
                <w:szCs w:val="18"/>
                <w:lang w:val="en-GB"/>
              </w:rPr>
              <w:t xml:space="preserve">(Bayt </w:t>
            </w:r>
            <w:proofErr w:type="spellStart"/>
            <w:r w:rsidRPr="00526BDB">
              <w:rPr>
                <w:rFonts w:asciiTheme="minorHAnsi" w:hAnsiTheme="minorHAnsi"/>
                <w:bCs/>
                <w:sz w:val="18"/>
                <w:szCs w:val="18"/>
                <w:lang w:val="en-GB"/>
              </w:rPr>
              <w:t>Alhikma</w:t>
            </w:r>
            <w:proofErr w:type="spellEnd"/>
            <w:r w:rsidRPr="00526BDB">
              <w:rPr>
                <w:rFonts w:asciiTheme="minorHAnsi" w:hAnsiTheme="minorHAnsi"/>
                <w:bCs/>
                <w:sz w:val="18"/>
                <w:szCs w:val="18"/>
                <w:lang w:val="en-GB"/>
              </w:rPr>
              <w:t xml:space="preserve"> is a  think tank affiliated with the Ministry of Planning)</w:t>
            </w:r>
          </w:p>
        </w:tc>
      </w:tr>
      <w:tr w:rsidR="00341D2F" w:rsidRPr="00526BDB" w:rsidTr="00341D2F">
        <w:trPr>
          <w:jc w:val="center"/>
        </w:trPr>
        <w:tc>
          <w:tcPr>
            <w:tcW w:w="2376" w:type="dxa"/>
            <w:tcBorders>
              <w:right w:val="dotted" w:sz="4" w:space="0" w:color="auto"/>
            </w:tcBorders>
            <w:shd w:val="clear" w:color="auto" w:fill="auto"/>
          </w:tcPr>
          <w:p w:rsidR="00341D2F" w:rsidRPr="00526BDB" w:rsidRDefault="00341D2F" w:rsidP="000D3DA4">
            <w:pPr>
              <w:rPr>
                <w:rFonts w:asciiTheme="minorHAnsi" w:hAnsiTheme="minorHAnsi"/>
                <w:b/>
                <w:bCs/>
                <w:sz w:val="20"/>
                <w:szCs w:val="20"/>
                <w:lang w:val="en-GB"/>
              </w:rPr>
            </w:pPr>
            <w:r w:rsidRPr="00526BDB">
              <w:rPr>
                <w:rFonts w:asciiTheme="minorHAnsi" w:hAnsiTheme="minorHAnsi"/>
                <w:b/>
                <w:bCs/>
                <w:sz w:val="20"/>
                <w:szCs w:val="20"/>
                <w:lang w:val="en-GB"/>
              </w:rPr>
              <w:t>Project Location(s):</w:t>
            </w:r>
          </w:p>
        </w:tc>
        <w:tc>
          <w:tcPr>
            <w:tcW w:w="6946" w:type="dxa"/>
            <w:tcBorders>
              <w:left w:val="dotted" w:sz="4" w:space="0" w:color="auto"/>
            </w:tcBorders>
            <w:shd w:val="clear" w:color="auto" w:fill="auto"/>
          </w:tcPr>
          <w:p w:rsidR="00341D2F" w:rsidRPr="00526BDB" w:rsidRDefault="00341D2F" w:rsidP="000D3DA4">
            <w:pPr>
              <w:rPr>
                <w:rFonts w:asciiTheme="minorHAnsi" w:hAnsiTheme="minorHAnsi"/>
                <w:bCs/>
                <w:sz w:val="20"/>
                <w:szCs w:val="20"/>
                <w:lang w:val="en-GB"/>
              </w:rPr>
            </w:pPr>
            <w:r w:rsidRPr="00526BDB">
              <w:rPr>
                <w:rFonts w:asciiTheme="minorHAnsi" w:hAnsiTheme="minorHAnsi"/>
                <w:bCs/>
                <w:sz w:val="20"/>
                <w:szCs w:val="20"/>
                <w:lang w:val="en-GB"/>
              </w:rPr>
              <w:t>Nationwide</w:t>
            </w:r>
          </w:p>
        </w:tc>
      </w:tr>
    </w:tbl>
    <w:p w:rsidR="0085712F" w:rsidRDefault="0085712F" w:rsidP="0085712F">
      <w:pPr>
        <w:rPr>
          <w:b/>
          <w:bCs/>
          <w:sz w:val="40"/>
          <w:szCs w:val="40"/>
        </w:rPr>
      </w:pPr>
    </w:p>
    <w:p w:rsidR="0085712F" w:rsidRDefault="0085712F">
      <w:pPr>
        <w:spacing w:after="200" w:line="276" w:lineRule="auto"/>
        <w:jc w:val="left"/>
        <w:rPr>
          <w:szCs w:val="22"/>
        </w:rPr>
      </w:pPr>
    </w:p>
    <w:p w:rsidR="001B34BB" w:rsidRPr="00AF5902" w:rsidRDefault="001B34BB">
      <w:pPr>
        <w:rPr>
          <w:szCs w:val="22"/>
        </w:rPr>
      </w:pPr>
    </w:p>
    <w:sdt>
      <w:sdtPr>
        <w:rPr>
          <w:rFonts w:ascii="Myriad Pro" w:eastAsia="Times New Roman" w:hAnsi="Myriad Pro" w:cs="Times New Roman"/>
          <w:b w:val="0"/>
          <w:bCs w:val="0"/>
          <w:color w:val="33CCFF"/>
          <w:sz w:val="22"/>
          <w:szCs w:val="24"/>
        </w:rPr>
        <w:id w:val="3662570"/>
        <w:docPartObj>
          <w:docPartGallery w:val="Table of Contents"/>
          <w:docPartUnique/>
        </w:docPartObj>
      </w:sdtPr>
      <w:sdtEndPr>
        <w:rPr>
          <w:color w:val="auto"/>
        </w:rPr>
      </w:sdtEndPr>
      <w:sdtContent>
        <w:p w:rsidR="00B621B8" w:rsidRPr="00B621B8" w:rsidRDefault="00B621B8" w:rsidP="00B621B8">
          <w:pPr>
            <w:pStyle w:val="TOCHeading"/>
            <w:jc w:val="center"/>
            <w:rPr>
              <w:color w:val="33CCFF"/>
            </w:rPr>
          </w:pPr>
          <w:r w:rsidRPr="00B621B8">
            <w:rPr>
              <w:color w:val="33CCFF"/>
            </w:rPr>
            <w:t>Table of Contents</w:t>
          </w:r>
        </w:p>
        <w:p w:rsidR="00B621B8" w:rsidRPr="00B621B8" w:rsidRDefault="00B621B8" w:rsidP="00B621B8"/>
        <w:p w:rsidR="00E85C99" w:rsidRDefault="006A0983">
          <w:pPr>
            <w:pStyle w:val="TOC1"/>
            <w:tabs>
              <w:tab w:val="right" w:leader="dot" w:pos="9016"/>
            </w:tabs>
            <w:rPr>
              <w:rFonts w:asciiTheme="minorHAnsi" w:eastAsiaTheme="minorEastAsia" w:hAnsiTheme="minorHAnsi" w:cstheme="minorBidi"/>
              <w:noProof/>
              <w:szCs w:val="22"/>
              <w:lang w:val="en-GB" w:eastAsia="en-GB"/>
            </w:rPr>
          </w:pPr>
          <w:r>
            <w:fldChar w:fldCharType="begin"/>
          </w:r>
          <w:r w:rsidR="00B621B8">
            <w:instrText xml:space="preserve"> TOC \o "1-3" \h \z \u </w:instrText>
          </w:r>
          <w:r>
            <w:fldChar w:fldCharType="separate"/>
          </w:r>
          <w:hyperlink w:anchor="_Toc216068334" w:history="1">
            <w:r w:rsidR="00E85C99" w:rsidRPr="005A19BD">
              <w:rPr>
                <w:rStyle w:val="Hyperlink"/>
                <w:noProof/>
                <w:lang w:val="en-GB"/>
              </w:rPr>
              <w:t>Executive summary</w:t>
            </w:r>
            <w:r w:rsidR="00E85C99">
              <w:rPr>
                <w:noProof/>
                <w:webHidden/>
              </w:rPr>
              <w:tab/>
            </w:r>
            <w:r w:rsidR="00E85C99">
              <w:rPr>
                <w:noProof/>
                <w:webHidden/>
              </w:rPr>
              <w:fldChar w:fldCharType="begin"/>
            </w:r>
            <w:r w:rsidR="00E85C99">
              <w:rPr>
                <w:noProof/>
                <w:webHidden/>
              </w:rPr>
              <w:instrText xml:space="preserve"> PAGEREF _Toc216068334 \h </w:instrText>
            </w:r>
            <w:r w:rsidR="00E85C99">
              <w:rPr>
                <w:noProof/>
                <w:webHidden/>
              </w:rPr>
            </w:r>
            <w:r w:rsidR="00E85C99">
              <w:rPr>
                <w:noProof/>
                <w:webHidden/>
              </w:rPr>
              <w:fldChar w:fldCharType="separate"/>
            </w:r>
            <w:r w:rsidR="00E85C99">
              <w:rPr>
                <w:noProof/>
                <w:webHidden/>
              </w:rPr>
              <w:t>3</w:t>
            </w:r>
            <w:r w:rsidR="00E85C99">
              <w:rPr>
                <w:noProof/>
                <w:webHidden/>
              </w:rPr>
              <w:fldChar w:fldCharType="end"/>
            </w:r>
          </w:hyperlink>
        </w:p>
        <w:p w:rsidR="00E85C99" w:rsidRDefault="00BF6051">
          <w:pPr>
            <w:pStyle w:val="TOC1"/>
            <w:tabs>
              <w:tab w:val="left" w:pos="440"/>
              <w:tab w:val="right" w:leader="dot" w:pos="9016"/>
            </w:tabs>
            <w:rPr>
              <w:rFonts w:asciiTheme="minorHAnsi" w:eastAsiaTheme="minorEastAsia" w:hAnsiTheme="minorHAnsi" w:cstheme="minorBidi"/>
              <w:noProof/>
              <w:szCs w:val="22"/>
              <w:lang w:val="en-GB" w:eastAsia="en-GB"/>
            </w:rPr>
          </w:pPr>
          <w:hyperlink w:anchor="_Toc216068335" w:history="1">
            <w:r w:rsidR="00E85C99" w:rsidRPr="005A19BD">
              <w:rPr>
                <w:rStyle w:val="Hyperlink"/>
                <w:noProof/>
                <w:lang w:val="en-GB"/>
              </w:rPr>
              <w:t>I.</w:t>
            </w:r>
            <w:r w:rsidR="00E85C99">
              <w:rPr>
                <w:rFonts w:asciiTheme="minorHAnsi" w:eastAsiaTheme="minorEastAsia" w:hAnsiTheme="minorHAnsi" w:cstheme="minorBidi"/>
                <w:noProof/>
                <w:szCs w:val="22"/>
                <w:lang w:val="en-GB" w:eastAsia="en-GB"/>
              </w:rPr>
              <w:tab/>
            </w:r>
            <w:r w:rsidR="00E85C99" w:rsidRPr="005A19BD">
              <w:rPr>
                <w:rStyle w:val="Hyperlink"/>
                <w:noProof/>
              </w:rPr>
              <w:t>Context</w:t>
            </w:r>
            <w:r w:rsidR="00E85C99">
              <w:rPr>
                <w:noProof/>
                <w:webHidden/>
              </w:rPr>
              <w:tab/>
            </w:r>
            <w:r w:rsidR="00E85C99">
              <w:rPr>
                <w:noProof/>
                <w:webHidden/>
              </w:rPr>
              <w:fldChar w:fldCharType="begin"/>
            </w:r>
            <w:r w:rsidR="00E85C99">
              <w:rPr>
                <w:noProof/>
                <w:webHidden/>
              </w:rPr>
              <w:instrText xml:space="preserve"> PAGEREF _Toc216068335 \h </w:instrText>
            </w:r>
            <w:r w:rsidR="00E85C99">
              <w:rPr>
                <w:noProof/>
                <w:webHidden/>
              </w:rPr>
            </w:r>
            <w:r w:rsidR="00E85C99">
              <w:rPr>
                <w:noProof/>
                <w:webHidden/>
              </w:rPr>
              <w:fldChar w:fldCharType="separate"/>
            </w:r>
            <w:r w:rsidR="00E85C99">
              <w:rPr>
                <w:noProof/>
                <w:webHidden/>
              </w:rPr>
              <w:t>4</w:t>
            </w:r>
            <w:r w:rsidR="00E85C99">
              <w:rPr>
                <w:noProof/>
                <w:webHidden/>
              </w:rPr>
              <w:fldChar w:fldCharType="end"/>
            </w:r>
          </w:hyperlink>
        </w:p>
        <w:p w:rsidR="00E85C99" w:rsidRDefault="00BF6051">
          <w:pPr>
            <w:pStyle w:val="TOC1"/>
            <w:tabs>
              <w:tab w:val="right" w:leader="dot" w:pos="9016"/>
            </w:tabs>
            <w:rPr>
              <w:rFonts w:asciiTheme="minorHAnsi" w:eastAsiaTheme="minorEastAsia" w:hAnsiTheme="minorHAnsi" w:cstheme="minorBidi"/>
              <w:noProof/>
              <w:szCs w:val="22"/>
              <w:lang w:val="en-GB" w:eastAsia="en-GB"/>
            </w:rPr>
          </w:pPr>
          <w:hyperlink w:anchor="_Toc216068336" w:history="1">
            <w:r w:rsidR="00E85C99" w:rsidRPr="005A19BD">
              <w:rPr>
                <w:rStyle w:val="Hyperlink"/>
                <w:noProof/>
                <w:lang w:val="en-GB"/>
              </w:rPr>
              <w:t>II. Performance review</w:t>
            </w:r>
            <w:r w:rsidR="00E85C99">
              <w:rPr>
                <w:noProof/>
                <w:webHidden/>
              </w:rPr>
              <w:tab/>
            </w:r>
            <w:r w:rsidR="00E85C99">
              <w:rPr>
                <w:noProof/>
                <w:webHidden/>
              </w:rPr>
              <w:fldChar w:fldCharType="begin"/>
            </w:r>
            <w:r w:rsidR="00E85C99">
              <w:rPr>
                <w:noProof/>
                <w:webHidden/>
              </w:rPr>
              <w:instrText xml:space="preserve"> PAGEREF _Toc216068336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BF6051">
          <w:pPr>
            <w:pStyle w:val="TOC2"/>
            <w:tabs>
              <w:tab w:val="right" w:leader="dot" w:pos="9016"/>
            </w:tabs>
            <w:rPr>
              <w:rFonts w:asciiTheme="minorHAnsi" w:eastAsiaTheme="minorEastAsia" w:hAnsiTheme="minorHAnsi" w:cstheme="minorBidi"/>
              <w:noProof/>
              <w:szCs w:val="22"/>
              <w:lang w:val="en-GB" w:eastAsia="en-GB"/>
            </w:rPr>
          </w:pPr>
          <w:hyperlink w:anchor="_Toc216068337" w:history="1">
            <w:r w:rsidR="00E85C99" w:rsidRPr="005A19BD">
              <w:rPr>
                <w:rStyle w:val="Hyperlink"/>
                <w:noProof/>
                <w:lang w:val="en-GB"/>
              </w:rPr>
              <w:t>Progress review</w:t>
            </w:r>
            <w:r w:rsidR="00E85C99">
              <w:rPr>
                <w:noProof/>
                <w:webHidden/>
              </w:rPr>
              <w:tab/>
            </w:r>
            <w:r w:rsidR="00E85C99">
              <w:rPr>
                <w:noProof/>
                <w:webHidden/>
              </w:rPr>
              <w:fldChar w:fldCharType="begin"/>
            </w:r>
            <w:r w:rsidR="00E85C99">
              <w:rPr>
                <w:noProof/>
                <w:webHidden/>
              </w:rPr>
              <w:instrText xml:space="preserve"> PAGEREF _Toc216068337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BF6051">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38"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Overall progress towards the CPAP outcome and output(s)</w:t>
            </w:r>
            <w:r w:rsidR="00E85C99">
              <w:rPr>
                <w:noProof/>
                <w:webHidden/>
              </w:rPr>
              <w:tab/>
            </w:r>
            <w:r w:rsidR="00E85C99">
              <w:rPr>
                <w:noProof/>
                <w:webHidden/>
              </w:rPr>
              <w:fldChar w:fldCharType="begin"/>
            </w:r>
            <w:r w:rsidR="00E85C99">
              <w:rPr>
                <w:noProof/>
                <w:webHidden/>
              </w:rPr>
              <w:instrText xml:space="preserve"> PAGEREF _Toc216068338 \h </w:instrText>
            </w:r>
            <w:r w:rsidR="00E85C99">
              <w:rPr>
                <w:noProof/>
                <w:webHidden/>
              </w:rPr>
            </w:r>
            <w:r w:rsidR="00E85C99">
              <w:rPr>
                <w:noProof/>
                <w:webHidden/>
              </w:rPr>
              <w:fldChar w:fldCharType="separate"/>
            </w:r>
            <w:r w:rsidR="00E85C99">
              <w:rPr>
                <w:noProof/>
                <w:webHidden/>
              </w:rPr>
              <w:t>5</w:t>
            </w:r>
            <w:r w:rsidR="00E85C99">
              <w:rPr>
                <w:noProof/>
                <w:webHidden/>
              </w:rPr>
              <w:fldChar w:fldCharType="end"/>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39"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Capacity development</w:t>
            </w:r>
            <w:r w:rsidR="00E85C99">
              <w:rPr>
                <w:noProof/>
                <w:webHidden/>
              </w:rPr>
              <w:tab/>
            </w:r>
            <w:r w:rsidR="00024D97">
              <w:rPr>
                <w:noProof/>
                <w:webHidden/>
              </w:rPr>
              <w:t>6</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0"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Impact on direct and indirect beneficiaries</w:t>
            </w:r>
            <w:r w:rsidR="00E85C99">
              <w:rPr>
                <w:noProof/>
                <w:webHidden/>
              </w:rPr>
              <w:tab/>
            </w:r>
            <w:r w:rsidR="00024D97">
              <w:rPr>
                <w:noProof/>
                <w:webHidden/>
              </w:rPr>
              <w:t>6</w:t>
            </w:r>
          </w:hyperlink>
        </w:p>
        <w:p w:rsidR="00E85C99" w:rsidRDefault="00BF6051" w:rsidP="00024D97">
          <w:pPr>
            <w:pStyle w:val="TOC2"/>
            <w:tabs>
              <w:tab w:val="right" w:leader="dot" w:pos="9016"/>
            </w:tabs>
            <w:rPr>
              <w:rFonts w:asciiTheme="minorHAnsi" w:eastAsiaTheme="minorEastAsia" w:hAnsiTheme="minorHAnsi" w:cstheme="minorBidi"/>
              <w:noProof/>
              <w:szCs w:val="22"/>
              <w:lang w:val="en-GB" w:eastAsia="en-GB"/>
            </w:rPr>
          </w:pPr>
          <w:hyperlink w:anchor="_Toc216068341" w:history="1">
            <w:r w:rsidR="00E85C99" w:rsidRPr="005A19BD">
              <w:rPr>
                <w:rStyle w:val="Hyperlink"/>
                <w:noProof/>
              </w:rPr>
              <w:t>Implementation strategy review</w:t>
            </w:r>
            <w:r w:rsidR="00E85C99">
              <w:rPr>
                <w:noProof/>
                <w:webHidden/>
              </w:rPr>
              <w:tab/>
            </w:r>
            <w:r w:rsidR="00024D97">
              <w:rPr>
                <w:noProof/>
                <w:webHidden/>
              </w:rPr>
              <w:t>7</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2"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Participatory/consultative processes</w:t>
            </w:r>
            <w:r w:rsidR="00E85C99">
              <w:rPr>
                <w:noProof/>
                <w:webHidden/>
              </w:rPr>
              <w:tab/>
            </w:r>
            <w:r w:rsidR="00024D97">
              <w:rPr>
                <w:noProof/>
                <w:webHidden/>
              </w:rPr>
              <w:t>7</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3"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Quality of partnerships</w:t>
            </w:r>
            <w:r w:rsidR="00E85C99">
              <w:rPr>
                <w:noProof/>
                <w:webHidden/>
              </w:rPr>
              <w:tab/>
            </w:r>
            <w:r w:rsidR="00024D97">
              <w:rPr>
                <w:noProof/>
                <w:webHidden/>
              </w:rPr>
              <w:t>7</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4"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National ownership</w:t>
            </w:r>
            <w:r w:rsidR="00E85C99">
              <w:rPr>
                <w:noProof/>
                <w:webHidden/>
              </w:rPr>
              <w:tab/>
            </w:r>
            <w:r w:rsidR="00024D97">
              <w:rPr>
                <w:noProof/>
                <w:webHidden/>
              </w:rPr>
              <w:t>7</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5" w:history="1">
            <w:r w:rsidR="00E85C99" w:rsidRPr="005A19BD">
              <w:rPr>
                <w:rStyle w:val="Hyperlink"/>
                <w:noProof/>
              </w:rPr>
              <w:t>4.</w:t>
            </w:r>
            <w:r w:rsidR="00E85C99">
              <w:rPr>
                <w:rFonts w:asciiTheme="minorHAnsi" w:eastAsiaTheme="minorEastAsia" w:hAnsiTheme="minorHAnsi" w:cstheme="minorBidi"/>
                <w:noProof/>
                <w:szCs w:val="22"/>
                <w:lang w:val="en-GB" w:eastAsia="en-GB"/>
              </w:rPr>
              <w:tab/>
            </w:r>
            <w:r w:rsidR="00E85C99" w:rsidRPr="005A19BD">
              <w:rPr>
                <w:rStyle w:val="Hyperlink"/>
                <w:noProof/>
              </w:rPr>
              <w:t>Sustainability</w:t>
            </w:r>
            <w:r w:rsidR="00E85C99">
              <w:rPr>
                <w:noProof/>
                <w:webHidden/>
              </w:rPr>
              <w:tab/>
            </w:r>
            <w:r w:rsidR="00024D97">
              <w:rPr>
                <w:noProof/>
                <w:webHidden/>
              </w:rPr>
              <w:t>8</w:t>
            </w:r>
          </w:hyperlink>
        </w:p>
        <w:p w:rsidR="00E85C99" w:rsidRDefault="00BF6051" w:rsidP="00024D97">
          <w:pPr>
            <w:pStyle w:val="TOC2"/>
            <w:tabs>
              <w:tab w:val="right" w:leader="dot" w:pos="9016"/>
            </w:tabs>
            <w:rPr>
              <w:rFonts w:asciiTheme="minorHAnsi" w:eastAsiaTheme="minorEastAsia" w:hAnsiTheme="minorHAnsi" w:cstheme="minorBidi"/>
              <w:noProof/>
              <w:szCs w:val="22"/>
              <w:lang w:val="en-GB" w:eastAsia="en-GB"/>
            </w:rPr>
          </w:pPr>
          <w:hyperlink w:anchor="_Toc216068346" w:history="1">
            <w:r w:rsidR="00E85C99" w:rsidRPr="005A19BD">
              <w:rPr>
                <w:rStyle w:val="Hyperlink"/>
                <w:noProof/>
              </w:rPr>
              <w:t>Management effectiveness review</w:t>
            </w:r>
            <w:r w:rsidR="00E85C99">
              <w:rPr>
                <w:noProof/>
                <w:webHidden/>
              </w:rPr>
              <w:tab/>
            </w:r>
            <w:r w:rsidR="00024D97">
              <w:rPr>
                <w:noProof/>
                <w:webHidden/>
              </w:rPr>
              <w:t>8</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7" w:history="1">
            <w:r w:rsidR="00E85C99" w:rsidRPr="005A19BD">
              <w:rPr>
                <w:rStyle w:val="Hyperlink"/>
                <w:noProof/>
              </w:rPr>
              <w:t>1.</w:t>
            </w:r>
            <w:r w:rsidR="00E85C99">
              <w:rPr>
                <w:rFonts w:asciiTheme="minorHAnsi" w:eastAsiaTheme="minorEastAsia" w:hAnsiTheme="minorHAnsi" w:cstheme="minorBidi"/>
                <w:noProof/>
                <w:szCs w:val="22"/>
                <w:lang w:val="en-GB" w:eastAsia="en-GB"/>
              </w:rPr>
              <w:tab/>
            </w:r>
            <w:r w:rsidR="00E85C99" w:rsidRPr="005A19BD">
              <w:rPr>
                <w:rStyle w:val="Hyperlink"/>
                <w:noProof/>
              </w:rPr>
              <w:t>Quality of monitoring</w:t>
            </w:r>
            <w:r w:rsidR="00E85C99">
              <w:rPr>
                <w:noProof/>
                <w:webHidden/>
              </w:rPr>
              <w:tab/>
            </w:r>
            <w:r w:rsidR="00024D97">
              <w:rPr>
                <w:noProof/>
                <w:webHidden/>
              </w:rPr>
              <w:t>8</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8" w:history="1">
            <w:r w:rsidR="00E85C99" w:rsidRPr="005A19BD">
              <w:rPr>
                <w:rStyle w:val="Hyperlink"/>
                <w:noProof/>
              </w:rPr>
              <w:t>2.</w:t>
            </w:r>
            <w:r w:rsidR="00E85C99">
              <w:rPr>
                <w:rFonts w:asciiTheme="minorHAnsi" w:eastAsiaTheme="minorEastAsia" w:hAnsiTheme="minorHAnsi" w:cstheme="minorBidi"/>
                <w:noProof/>
                <w:szCs w:val="22"/>
                <w:lang w:val="en-GB" w:eastAsia="en-GB"/>
              </w:rPr>
              <w:tab/>
            </w:r>
            <w:r w:rsidR="00E85C99" w:rsidRPr="005A19BD">
              <w:rPr>
                <w:rStyle w:val="Hyperlink"/>
                <w:noProof/>
              </w:rPr>
              <w:t>Timely delivery of outputs</w:t>
            </w:r>
            <w:r w:rsidR="00E85C99">
              <w:rPr>
                <w:noProof/>
                <w:webHidden/>
              </w:rPr>
              <w:tab/>
            </w:r>
            <w:r w:rsidR="00024D97">
              <w:rPr>
                <w:noProof/>
                <w:webHidden/>
              </w:rPr>
              <w:t>8</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49" w:history="1">
            <w:r w:rsidR="00E85C99" w:rsidRPr="005A19BD">
              <w:rPr>
                <w:rStyle w:val="Hyperlink"/>
                <w:noProof/>
              </w:rPr>
              <w:t>3.</w:t>
            </w:r>
            <w:r w:rsidR="00E85C99">
              <w:rPr>
                <w:rFonts w:asciiTheme="minorHAnsi" w:eastAsiaTheme="minorEastAsia" w:hAnsiTheme="minorHAnsi" w:cstheme="minorBidi"/>
                <w:noProof/>
                <w:szCs w:val="22"/>
                <w:lang w:val="en-GB" w:eastAsia="en-GB"/>
              </w:rPr>
              <w:tab/>
            </w:r>
            <w:r w:rsidR="00E85C99" w:rsidRPr="005A19BD">
              <w:rPr>
                <w:rStyle w:val="Hyperlink"/>
                <w:noProof/>
              </w:rPr>
              <w:t>Resources allocation</w:t>
            </w:r>
            <w:r w:rsidR="00E85C99">
              <w:rPr>
                <w:noProof/>
                <w:webHidden/>
              </w:rPr>
              <w:tab/>
            </w:r>
            <w:r w:rsidR="00024D97">
              <w:rPr>
                <w:noProof/>
                <w:webHidden/>
              </w:rPr>
              <w:t>8</w:t>
            </w:r>
          </w:hyperlink>
        </w:p>
        <w:p w:rsidR="00E85C99" w:rsidRDefault="00BF6051" w:rsidP="00024D97">
          <w:pPr>
            <w:pStyle w:val="TOC3"/>
            <w:tabs>
              <w:tab w:val="left" w:pos="880"/>
              <w:tab w:val="right" w:leader="dot" w:pos="9016"/>
            </w:tabs>
            <w:rPr>
              <w:rFonts w:asciiTheme="minorHAnsi" w:eastAsiaTheme="minorEastAsia" w:hAnsiTheme="minorHAnsi" w:cstheme="minorBidi"/>
              <w:noProof/>
              <w:szCs w:val="22"/>
              <w:lang w:val="en-GB" w:eastAsia="en-GB"/>
            </w:rPr>
          </w:pPr>
          <w:hyperlink w:anchor="_Toc216068350" w:history="1">
            <w:r w:rsidR="00E85C99" w:rsidRPr="005A19BD">
              <w:rPr>
                <w:rStyle w:val="Hyperlink"/>
                <w:noProof/>
              </w:rPr>
              <w:t>4.</w:t>
            </w:r>
            <w:r w:rsidR="00E85C99">
              <w:rPr>
                <w:rFonts w:asciiTheme="minorHAnsi" w:eastAsiaTheme="minorEastAsia" w:hAnsiTheme="minorHAnsi" w:cstheme="minorBidi"/>
                <w:noProof/>
                <w:szCs w:val="22"/>
                <w:lang w:val="en-GB" w:eastAsia="en-GB"/>
              </w:rPr>
              <w:tab/>
            </w:r>
            <w:r w:rsidR="00E85C99" w:rsidRPr="005A19BD">
              <w:rPr>
                <w:rStyle w:val="Hyperlink"/>
                <w:noProof/>
              </w:rPr>
              <w:t>Cost-effective use of inputs</w:t>
            </w:r>
            <w:r w:rsidR="00E85C99">
              <w:rPr>
                <w:noProof/>
                <w:webHidden/>
              </w:rPr>
              <w:tab/>
            </w:r>
            <w:r w:rsidR="00024D97">
              <w:rPr>
                <w:noProof/>
                <w:webHidden/>
              </w:rPr>
              <w:t>8</w:t>
            </w:r>
          </w:hyperlink>
        </w:p>
        <w:p w:rsidR="00E85C99" w:rsidRDefault="00BF6051" w:rsidP="00024D97">
          <w:pPr>
            <w:pStyle w:val="TOC1"/>
            <w:tabs>
              <w:tab w:val="right" w:leader="dot" w:pos="9016"/>
            </w:tabs>
            <w:rPr>
              <w:rFonts w:asciiTheme="minorHAnsi" w:eastAsiaTheme="minorEastAsia" w:hAnsiTheme="minorHAnsi" w:cstheme="minorBidi"/>
              <w:noProof/>
              <w:szCs w:val="22"/>
              <w:lang w:val="en-GB" w:eastAsia="en-GB"/>
            </w:rPr>
          </w:pPr>
          <w:hyperlink w:anchor="_Toc216068351" w:history="1">
            <w:r w:rsidR="00E85C99" w:rsidRPr="005A19BD">
              <w:rPr>
                <w:rStyle w:val="Hyperlink"/>
                <w:noProof/>
                <w:lang w:val="en-GB"/>
              </w:rPr>
              <w:t>III. Project results summary</w:t>
            </w:r>
            <w:r w:rsidR="00E85C99">
              <w:rPr>
                <w:noProof/>
                <w:webHidden/>
              </w:rPr>
              <w:tab/>
            </w:r>
            <w:r w:rsidR="00024D97">
              <w:rPr>
                <w:noProof/>
                <w:webHidden/>
              </w:rPr>
              <w:t>9</w:t>
            </w:r>
          </w:hyperlink>
        </w:p>
        <w:p w:rsidR="00E85C99" w:rsidRDefault="00BF6051">
          <w:pPr>
            <w:pStyle w:val="TOC1"/>
            <w:tabs>
              <w:tab w:val="right" w:leader="dot" w:pos="9016"/>
            </w:tabs>
            <w:rPr>
              <w:rFonts w:asciiTheme="minorHAnsi" w:eastAsiaTheme="minorEastAsia" w:hAnsiTheme="minorHAnsi" w:cstheme="minorBidi"/>
              <w:noProof/>
              <w:szCs w:val="22"/>
              <w:lang w:val="en-GB" w:eastAsia="en-GB"/>
            </w:rPr>
          </w:pPr>
          <w:hyperlink w:anchor="_Toc216068352" w:history="1">
            <w:r w:rsidR="00E85C99" w:rsidRPr="005A19BD">
              <w:rPr>
                <w:rStyle w:val="Hyperlink"/>
                <w:noProof/>
              </w:rPr>
              <w:t>IV. Implementation challenges</w:t>
            </w:r>
            <w:r w:rsidR="00E85C99">
              <w:rPr>
                <w:noProof/>
                <w:webHidden/>
              </w:rPr>
              <w:tab/>
            </w:r>
            <w:r w:rsidR="00E85C99">
              <w:rPr>
                <w:noProof/>
                <w:webHidden/>
              </w:rPr>
              <w:fldChar w:fldCharType="begin"/>
            </w:r>
            <w:r w:rsidR="00E85C99">
              <w:rPr>
                <w:noProof/>
                <w:webHidden/>
              </w:rPr>
              <w:instrText xml:space="preserve"> PAGEREF _Toc216068352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rsidR="00E85C99" w:rsidRDefault="00BF6051">
          <w:pPr>
            <w:pStyle w:val="TOC2"/>
            <w:tabs>
              <w:tab w:val="right" w:leader="dot" w:pos="9016"/>
            </w:tabs>
            <w:rPr>
              <w:rFonts w:asciiTheme="minorHAnsi" w:eastAsiaTheme="minorEastAsia" w:hAnsiTheme="minorHAnsi" w:cstheme="minorBidi"/>
              <w:noProof/>
              <w:szCs w:val="22"/>
              <w:lang w:val="en-GB" w:eastAsia="en-GB"/>
            </w:rPr>
          </w:pPr>
          <w:hyperlink w:anchor="_Toc216068353" w:history="1">
            <w:r w:rsidR="00E85C99" w:rsidRPr="005A19BD">
              <w:rPr>
                <w:rStyle w:val="Hyperlink"/>
                <w:noProof/>
              </w:rPr>
              <w:t>Project risks and actions</w:t>
            </w:r>
            <w:r w:rsidR="00E85C99">
              <w:rPr>
                <w:noProof/>
                <w:webHidden/>
              </w:rPr>
              <w:tab/>
            </w:r>
            <w:r w:rsidR="00E85C99">
              <w:rPr>
                <w:noProof/>
                <w:webHidden/>
              </w:rPr>
              <w:fldChar w:fldCharType="begin"/>
            </w:r>
            <w:r w:rsidR="00E85C99">
              <w:rPr>
                <w:noProof/>
                <w:webHidden/>
              </w:rPr>
              <w:instrText xml:space="preserve"> PAGEREF _Toc216068353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rsidR="00E85C99" w:rsidRDefault="00BF6051">
          <w:pPr>
            <w:pStyle w:val="TOC2"/>
            <w:tabs>
              <w:tab w:val="right" w:leader="dot" w:pos="9016"/>
            </w:tabs>
            <w:rPr>
              <w:rFonts w:asciiTheme="minorHAnsi" w:eastAsiaTheme="minorEastAsia" w:hAnsiTheme="minorHAnsi" w:cstheme="minorBidi"/>
              <w:noProof/>
              <w:szCs w:val="22"/>
              <w:lang w:val="en-GB" w:eastAsia="en-GB"/>
            </w:rPr>
          </w:pPr>
          <w:hyperlink w:anchor="_Toc216068354" w:history="1">
            <w:r w:rsidR="00E85C99" w:rsidRPr="005A19BD">
              <w:rPr>
                <w:rStyle w:val="Hyperlink"/>
                <w:noProof/>
              </w:rPr>
              <w:t>Project issues and actions</w:t>
            </w:r>
            <w:r w:rsidR="00E85C99">
              <w:rPr>
                <w:noProof/>
                <w:webHidden/>
              </w:rPr>
              <w:tab/>
            </w:r>
            <w:r w:rsidR="00E85C99">
              <w:rPr>
                <w:noProof/>
                <w:webHidden/>
              </w:rPr>
              <w:fldChar w:fldCharType="begin"/>
            </w:r>
            <w:r w:rsidR="00E85C99">
              <w:rPr>
                <w:noProof/>
                <w:webHidden/>
              </w:rPr>
              <w:instrText xml:space="preserve"> PAGEREF _Toc216068354 \h </w:instrText>
            </w:r>
            <w:r w:rsidR="00E85C99">
              <w:rPr>
                <w:noProof/>
                <w:webHidden/>
              </w:rPr>
            </w:r>
            <w:r w:rsidR="00E85C99">
              <w:rPr>
                <w:noProof/>
                <w:webHidden/>
              </w:rPr>
              <w:fldChar w:fldCharType="separate"/>
            </w:r>
            <w:r w:rsidR="00E85C99">
              <w:rPr>
                <w:noProof/>
                <w:webHidden/>
              </w:rPr>
              <w:t>10</w:t>
            </w:r>
            <w:r w:rsidR="00E85C99">
              <w:rPr>
                <w:noProof/>
                <w:webHidden/>
              </w:rPr>
              <w:fldChar w:fldCharType="end"/>
            </w:r>
          </w:hyperlink>
        </w:p>
        <w:p w:rsidR="00E85C99" w:rsidRDefault="00BF6051">
          <w:pPr>
            <w:pStyle w:val="TOC1"/>
            <w:tabs>
              <w:tab w:val="right" w:leader="dot" w:pos="9016"/>
            </w:tabs>
            <w:rPr>
              <w:rFonts w:asciiTheme="minorHAnsi" w:eastAsiaTheme="minorEastAsia" w:hAnsiTheme="minorHAnsi" w:cstheme="minorBidi"/>
              <w:noProof/>
              <w:szCs w:val="22"/>
              <w:lang w:val="en-GB" w:eastAsia="en-GB"/>
            </w:rPr>
          </w:pPr>
          <w:hyperlink w:anchor="_Toc216068355" w:history="1">
            <w:r w:rsidR="00E85C99" w:rsidRPr="005A19BD">
              <w:rPr>
                <w:rStyle w:val="Hyperlink"/>
                <w:noProof/>
              </w:rPr>
              <w:t>V. Lessons learnt and next steps</w:t>
            </w:r>
            <w:r w:rsidR="00E85C99">
              <w:rPr>
                <w:noProof/>
                <w:webHidden/>
              </w:rPr>
              <w:tab/>
            </w:r>
            <w:r w:rsidR="00E85C99">
              <w:rPr>
                <w:noProof/>
                <w:webHidden/>
              </w:rPr>
              <w:fldChar w:fldCharType="begin"/>
            </w:r>
            <w:r w:rsidR="00E85C99">
              <w:rPr>
                <w:noProof/>
                <w:webHidden/>
              </w:rPr>
              <w:instrText xml:space="preserve"> PAGEREF _Toc216068355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rsidR="00E85C99" w:rsidRDefault="00BF6051">
          <w:pPr>
            <w:pStyle w:val="TOC2"/>
            <w:tabs>
              <w:tab w:val="right" w:leader="dot" w:pos="9016"/>
            </w:tabs>
            <w:rPr>
              <w:rFonts w:asciiTheme="minorHAnsi" w:eastAsiaTheme="minorEastAsia" w:hAnsiTheme="minorHAnsi" w:cstheme="minorBidi"/>
              <w:noProof/>
              <w:szCs w:val="22"/>
              <w:lang w:val="en-GB" w:eastAsia="en-GB"/>
            </w:rPr>
          </w:pPr>
          <w:hyperlink w:anchor="_Toc216068356" w:history="1">
            <w:r w:rsidR="00E85C99" w:rsidRPr="005A19BD">
              <w:rPr>
                <w:rStyle w:val="Hyperlink"/>
                <w:noProof/>
              </w:rPr>
              <w:t>Lessons learnt</w:t>
            </w:r>
            <w:r w:rsidR="00E85C99">
              <w:rPr>
                <w:noProof/>
                <w:webHidden/>
              </w:rPr>
              <w:tab/>
            </w:r>
            <w:r w:rsidR="00E85C99">
              <w:rPr>
                <w:noProof/>
                <w:webHidden/>
              </w:rPr>
              <w:fldChar w:fldCharType="begin"/>
            </w:r>
            <w:r w:rsidR="00E85C99">
              <w:rPr>
                <w:noProof/>
                <w:webHidden/>
              </w:rPr>
              <w:instrText xml:space="preserve"> PAGEREF _Toc216068356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rsidR="00E85C99" w:rsidRDefault="00BF6051">
          <w:pPr>
            <w:pStyle w:val="TOC2"/>
            <w:tabs>
              <w:tab w:val="right" w:leader="dot" w:pos="9016"/>
            </w:tabs>
            <w:rPr>
              <w:rFonts w:asciiTheme="minorHAnsi" w:eastAsiaTheme="minorEastAsia" w:hAnsiTheme="minorHAnsi" w:cstheme="minorBidi"/>
              <w:noProof/>
              <w:szCs w:val="22"/>
              <w:lang w:val="en-GB" w:eastAsia="en-GB"/>
            </w:rPr>
          </w:pPr>
          <w:hyperlink w:anchor="_Toc216068357" w:history="1">
            <w:r w:rsidR="00E85C99" w:rsidRPr="005A19BD">
              <w:rPr>
                <w:rStyle w:val="Hyperlink"/>
                <w:noProof/>
              </w:rPr>
              <w:t>Recommendations</w:t>
            </w:r>
            <w:r w:rsidR="00E85C99">
              <w:rPr>
                <w:noProof/>
                <w:webHidden/>
              </w:rPr>
              <w:tab/>
            </w:r>
            <w:r w:rsidR="00E85C99">
              <w:rPr>
                <w:noProof/>
                <w:webHidden/>
              </w:rPr>
              <w:fldChar w:fldCharType="begin"/>
            </w:r>
            <w:r w:rsidR="00E85C99">
              <w:rPr>
                <w:noProof/>
                <w:webHidden/>
              </w:rPr>
              <w:instrText xml:space="preserve"> PAGEREF _Toc216068357 \h </w:instrText>
            </w:r>
            <w:r w:rsidR="00E85C99">
              <w:rPr>
                <w:noProof/>
                <w:webHidden/>
              </w:rPr>
            </w:r>
            <w:r w:rsidR="00E85C99">
              <w:rPr>
                <w:noProof/>
                <w:webHidden/>
              </w:rPr>
              <w:fldChar w:fldCharType="separate"/>
            </w:r>
            <w:r w:rsidR="00E85C99">
              <w:rPr>
                <w:noProof/>
                <w:webHidden/>
              </w:rPr>
              <w:t>11</w:t>
            </w:r>
            <w:r w:rsidR="00E85C99">
              <w:rPr>
                <w:noProof/>
                <w:webHidden/>
              </w:rPr>
              <w:fldChar w:fldCharType="end"/>
            </w:r>
          </w:hyperlink>
        </w:p>
        <w:p w:rsidR="00E85C99" w:rsidRDefault="00BF6051">
          <w:pPr>
            <w:pStyle w:val="TOC1"/>
            <w:tabs>
              <w:tab w:val="right" w:leader="dot" w:pos="9016"/>
            </w:tabs>
            <w:rPr>
              <w:rFonts w:asciiTheme="minorHAnsi" w:eastAsiaTheme="minorEastAsia" w:hAnsiTheme="minorHAnsi" w:cstheme="minorBidi"/>
              <w:noProof/>
              <w:szCs w:val="22"/>
              <w:lang w:val="en-GB" w:eastAsia="en-GB"/>
            </w:rPr>
          </w:pPr>
          <w:hyperlink w:anchor="_Toc216068358" w:history="1">
            <w:r w:rsidR="00E85C99" w:rsidRPr="005A19BD">
              <w:rPr>
                <w:rStyle w:val="Hyperlink"/>
                <w:noProof/>
              </w:rPr>
              <w:t>VI. Financial status and utilization</w:t>
            </w:r>
            <w:r w:rsidR="00E85C99">
              <w:rPr>
                <w:noProof/>
                <w:webHidden/>
              </w:rPr>
              <w:tab/>
            </w:r>
            <w:r w:rsidR="00E85C99">
              <w:rPr>
                <w:noProof/>
                <w:webHidden/>
              </w:rPr>
              <w:fldChar w:fldCharType="begin"/>
            </w:r>
            <w:r w:rsidR="00E85C99">
              <w:rPr>
                <w:noProof/>
                <w:webHidden/>
              </w:rPr>
              <w:instrText xml:space="preserve"> PAGEREF _Toc216068358 \h </w:instrText>
            </w:r>
            <w:r w:rsidR="00E85C99">
              <w:rPr>
                <w:noProof/>
                <w:webHidden/>
              </w:rPr>
            </w:r>
            <w:r w:rsidR="00E85C99">
              <w:rPr>
                <w:noProof/>
                <w:webHidden/>
              </w:rPr>
              <w:fldChar w:fldCharType="separate"/>
            </w:r>
            <w:r w:rsidR="00E85C99">
              <w:rPr>
                <w:noProof/>
                <w:webHidden/>
              </w:rPr>
              <w:t>12</w:t>
            </w:r>
            <w:r w:rsidR="00E85C99">
              <w:rPr>
                <w:noProof/>
                <w:webHidden/>
              </w:rPr>
              <w:fldChar w:fldCharType="end"/>
            </w:r>
          </w:hyperlink>
        </w:p>
        <w:p w:rsidR="00E85C99" w:rsidRDefault="00BF6051">
          <w:pPr>
            <w:pStyle w:val="TOC2"/>
            <w:tabs>
              <w:tab w:val="right" w:leader="dot" w:pos="9016"/>
            </w:tabs>
            <w:rPr>
              <w:rFonts w:asciiTheme="minorHAnsi" w:eastAsiaTheme="minorEastAsia" w:hAnsiTheme="minorHAnsi" w:cstheme="minorBidi"/>
              <w:noProof/>
              <w:szCs w:val="22"/>
              <w:lang w:val="en-GB" w:eastAsia="en-GB"/>
            </w:rPr>
          </w:pPr>
          <w:hyperlink w:anchor="_Toc216068359" w:history="1">
            <w:r w:rsidR="00E85C99" w:rsidRPr="005A19BD">
              <w:rPr>
                <w:rStyle w:val="Hyperlink"/>
                <w:noProof/>
              </w:rPr>
              <w:t>Financial status</w:t>
            </w:r>
            <w:r w:rsidR="00E85C99">
              <w:rPr>
                <w:noProof/>
                <w:webHidden/>
              </w:rPr>
              <w:tab/>
            </w:r>
            <w:r w:rsidR="00E85C99">
              <w:rPr>
                <w:noProof/>
                <w:webHidden/>
              </w:rPr>
              <w:fldChar w:fldCharType="begin"/>
            </w:r>
            <w:r w:rsidR="00E85C99">
              <w:rPr>
                <w:noProof/>
                <w:webHidden/>
              </w:rPr>
              <w:instrText xml:space="preserve"> PAGEREF _Toc216068359 \h </w:instrText>
            </w:r>
            <w:r w:rsidR="00E85C99">
              <w:rPr>
                <w:noProof/>
                <w:webHidden/>
              </w:rPr>
            </w:r>
            <w:r w:rsidR="00E85C99">
              <w:rPr>
                <w:noProof/>
                <w:webHidden/>
              </w:rPr>
              <w:fldChar w:fldCharType="separate"/>
            </w:r>
            <w:r w:rsidR="00E85C99">
              <w:rPr>
                <w:noProof/>
                <w:webHidden/>
              </w:rPr>
              <w:t>12</w:t>
            </w:r>
            <w:r w:rsidR="00E85C99">
              <w:rPr>
                <w:noProof/>
                <w:webHidden/>
              </w:rPr>
              <w:fldChar w:fldCharType="end"/>
            </w:r>
          </w:hyperlink>
        </w:p>
        <w:p w:rsidR="00E85C99" w:rsidRDefault="00BF6051">
          <w:pPr>
            <w:pStyle w:val="TOC2"/>
            <w:tabs>
              <w:tab w:val="right" w:leader="dot" w:pos="9016"/>
            </w:tabs>
            <w:rPr>
              <w:rFonts w:asciiTheme="minorHAnsi" w:eastAsiaTheme="minorEastAsia" w:hAnsiTheme="minorHAnsi" w:cstheme="minorBidi"/>
              <w:noProof/>
              <w:szCs w:val="22"/>
              <w:lang w:val="en-GB" w:eastAsia="en-GB"/>
            </w:rPr>
          </w:pPr>
          <w:hyperlink w:anchor="_Toc216068360" w:history="1">
            <w:r w:rsidR="00E85C99" w:rsidRPr="005A19BD">
              <w:rPr>
                <w:rStyle w:val="Hyperlink"/>
                <w:noProof/>
              </w:rPr>
              <w:t>Financial utilization</w:t>
            </w:r>
            <w:r w:rsidR="00E85C99">
              <w:rPr>
                <w:noProof/>
                <w:webHidden/>
              </w:rPr>
              <w:tab/>
            </w:r>
            <w:r w:rsidR="00E85C99">
              <w:rPr>
                <w:noProof/>
                <w:webHidden/>
              </w:rPr>
              <w:fldChar w:fldCharType="begin"/>
            </w:r>
            <w:r w:rsidR="00E85C99">
              <w:rPr>
                <w:noProof/>
                <w:webHidden/>
              </w:rPr>
              <w:instrText xml:space="preserve"> PAGEREF _Toc216068360 \h </w:instrText>
            </w:r>
            <w:r w:rsidR="00E85C99">
              <w:rPr>
                <w:noProof/>
                <w:webHidden/>
              </w:rPr>
            </w:r>
            <w:r w:rsidR="00E85C99">
              <w:rPr>
                <w:noProof/>
                <w:webHidden/>
              </w:rPr>
              <w:fldChar w:fldCharType="separate"/>
            </w:r>
            <w:r w:rsidR="00E85C99">
              <w:rPr>
                <w:noProof/>
                <w:webHidden/>
              </w:rPr>
              <w:t>13</w:t>
            </w:r>
            <w:r w:rsidR="00E85C99">
              <w:rPr>
                <w:noProof/>
                <w:webHidden/>
              </w:rPr>
              <w:fldChar w:fldCharType="end"/>
            </w:r>
          </w:hyperlink>
        </w:p>
        <w:p w:rsidR="00E85C99" w:rsidRDefault="00BF6051">
          <w:pPr>
            <w:pStyle w:val="TOC1"/>
            <w:tabs>
              <w:tab w:val="right" w:leader="dot" w:pos="9016"/>
            </w:tabs>
            <w:rPr>
              <w:rFonts w:asciiTheme="minorHAnsi" w:eastAsiaTheme="minorEastAsia" w:hAnsiTheme="minorHAnsi" w:cstheme="minorBidi"/>
              <w:noProof/>
              <w:szCs w:val="22"/>
              <w:lang w:val="en-GB" w:eastAsia="en-GB"/>
            </w:rPr>
          </w:pPr>
          <w:hyperlink w:anchor="_Toc216068361" w:history="1">
            <w:r w:rsidR="00E85C99" w:rsidRPr="005A19BD">
              <w:rPr>
                <w:rStyle w:val="Hyperlink"/>
                <w:noProof/>
              </w:rPr>
              <w:t>Annexes</w:t>
            </w:r>
            <w:r w:rsidR="00E85C99">
              <w:rPr>
                <w:noProof/>
                <w:webHidden/>
              </w:rPr>
              <w:tab/>
            </w:r>
            <w:r w:rsidR="00E85C99">
              <w:rPr>
                <w:noProof/>
                <w:webHidden/>
              </w:rPr>
              <w:fldChar w:fldCharType="begin"/>
            </w:r>
            <w:r w:rsidR="00E85C99">
              <w:rPr>
                <w:noProof/>
                <w:webHidden/>
              </w:rPr>
              <w:instrText xml:space="preserve"> PAGEREF _Toc216068361 \h </w:instrText>
            </w:r>
            <w:r w:rsidR="00E85C99">
              <w:rPr>
                <w:noProof/>
                <w:webHidden/>
              </w:rPr>
            </w:r>
            <w:r w:rsidR="00E85C99">
              <w:rPr>
                <w:noProof/>
                <w:webHidden/>
              </w:rPr>
              <w:fldChar w:fldCharType="separate"/>
            </w:r>
            <w:r w:rsidR="00E85C99">
              <w:rPr>
                <w:noProof/>
                <w:webHidden/>
              </w:rPr>
              <w:t>15</w:t>
            </w:r>
            <w:r w:rsidR="00E85C99">
              <w:rPr>
                <w:noProof/>
                <w:webHidden/>
              </w:rPr>
              <w:fldChar w:fldCharType="end"/>
            </w:r>
          </w:hyperlink>
        </w:p>
        <w:p w:rsidR="00B621B8" w:rsidRDefault="006A0983">
          <w:r>
            <w:fldChar w:fldCharType="end"/>
          </w:r>
        </w:p>
      </w:sdtContent>
    </w:sdt>
    <w:p w:rsidR="00B621B8" w:rsidRDefault="00B621B8"/>
    <w:p w:rsidR="00B621B8" w:rsidRDefault="00B621B8"/>
    <w:p w:rsidR="003B28F2" w:rsidRDefault="003B28F2"/>
    <w:p w:rsidR="003B28F2" w:rsidRDefault="003B28F2"/>
    <w:p w:rsidR="003B28F2" w:rsidRDefault="003B28F2"/>
    <w:p w:rsidR="003B28F2" w:rsidRDefault="003B28F2"/>
    <w:p w:rsidR="00261B0C" w:rsidRPr="00AF5902" w:rsidRDefault="00261B0C" w:rsidP="00261B0C">
      <w:pPr>
        <w:pStyle w:val="Heading1"/>
        <w:rPr>
          <w:rFonts w:ascii="Myriad Pro" w:hAnsi="Myriad Pro"/>
          <w:color w:val="33CCFF"/>
          <w:sz w:val="36"/>
          <w:szCs w:val="36"/>
          <w:lang w:val="en-GB"/>
        </w:rPr>
      </w:pPr>
      <w:bookmarkStart w:id="8" w:name="_Toc216068334"/>
      <w:r w:rsidRPr="00AF5902">
        <w:rPr>
          <w:rFonts w:ascii="Myriad Pro" w:hAnsi="Myriad Pro"/>
          <w:color w:val="33CCFF"/>
          <w:sz w:val="36"/>
          <w:szCs w:val="36"/>
          <w:lang w:val="en-GB"/>
        </w:rPr>
        <w:t>Executive summary</w:t>
      </w:r>
      <w:bookmarkEnd w:id="8"/>
    </w:p>
    <w:p w:rsidR="00261B0C" w:rsidRPr="00AF5902" w:rsidRDefault="00261B0C" w:rsidP="00261B0C">
      <w:pPr>
        <w:rPr>
          <w:szCs w:val="22"/>
        </w:rPr>
      </w:pPr>
    </w:p>
    <w:p w:rsidR="00261B0C" w:rsidRDefault="001C148B" w:rsidP="001C148B">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2"/>
          <w:szCs w:val="22"/>
          <w:lang w:val="en-GB"/>
        </w:rPr>
      </w:pPr>
      <w:r>
        <w:rPr>
          <w:rFonts w:cs="Arial"/>
          <w:sz w:val="22"/>
          <w:szCs w:val="22"/>
          <w:lang w:val="en-GB"/>
        </w:rPr>
        <w:t>T</w:t>
      </w:r>
      <w:r w:rsidR="00261B0C" w:rsidRPr="00AF5902">
        <w:rPr>
          <w:rFonts w:cs="Arial"/>
          <w:sz w:val="22"/>
          <w:szCs w:val="22"/>
          <w:lang w:val="en-GB"/>
        </w:rPr>
        <w:t xml:space="preserve">he </w:t>
      </w:r>
      <w:r>
        <w:rPr>
          <w:rFonts w:cs="Arial"/>
          <w:sz w:val="22"/>
          <w:szCs w:val="22"/>
          <w:lang w:val="en-GB"/>
        </w:rPr>
        <w:t>year 2014 witnessed the launch of the Iraq NHDR 2014, which is the main output of the project and concludes most of its activities. The Communication Strategy for the promotion of the NHDR was also completed as planned in the AWP.</w:t>
      </w:r>
    </w:p>
    <w:p w:rsidR="001C148B" w:rsidRDefault="001C148B" w:rsidP="001C148B">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2"/>
          <w:szCs w:val="22"/>
          <w:lang w:val="en-GB"/>
        </w:rPr>
      </w:pPr>
    </w:p>
    <w:p w:rsidR="001C148B" w:rsidRDefault="001C148B" w:rsidP="001C148B">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2"/>
          <w:szCs w:val="22"/>
          <w:lang w:val="en-GB"/>
        </w:rPr>
      </w:pPr>
      <w:r>
        <w:rPr>
          <w:rFonts w:cs="Arial"/>
          <w:sz w:val="22"/>
          <w:szCs w:val="22"/>
          <w:lang w:val="en-GB"/>
        </w:rPr>
        <w:t>The report was endorsed by the Iraqi government and the report was launched on 17 Dec in Baghdad through an event that was attended by the Iraqi Prime Minister and the UN DSRSG.</w:t>
      </w:r>
    </w:p>
    <w:p w:rsidR="001C148B" w:rsidRDefault="001C148B" w:rsidP="001C148B">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2"/>
          <w:szCs w:val="22"/>
          <w:lang w:val="en-GB"/>
        </w:rPr>
      </w:pPr>
    </w:p>
    <w:p w:rsidR="001C148B" w:rsidRPr="00AF5902" w:rsidRDefault="001C148B" w:rsidP="001C148B">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2"/>
          <w:szCs w:val="22"/>
          <w:lang w:val="en-GB"/>
        </w:rPr>
      </w:pPr>
      <w:r>
        <w:rPr>
          <w:rFonts w:cs="Arial"/>
          <w:sz w:val="22"/>
          <w:szCs w:val="22"/>
          <w:lang w:val="en-GB"/>
        </w:rPr>
        <w:t>Persistent coordination and support from various participating teams enabled the completion the report in terms of substance and presentation. This was possible by early planning and securing the logistical arrangements for the printing of the report and its launch.</w:t>
      </w:r>
    </w:p>
    <w:p w:rsidR="007C0210" w:rsidRDefault="007C0210" w:rsidP="00261B0C">
      <w:pPr>
        <w:ind w:firstLine="720"/>
        <w:rPr>
          <w:lang w:val="en-GB"/>
        </w:rPr>
      </w:pPr>
    </w:p>
    <w:p w:rsidR="00261B0C" w:rsidRDefault="001C148B" w:rsidP="001C148B">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4"/>
          <w:lang w:val="en-GB"/>
        </w:rPr>
      </w:pPr>
      <w:r>
        <w:rPr>
          <w:sz w:val="22"/>
          <w:szCs w:val="24"/>
          <w:lang w:val="en-GB"/>
        </w:rPr>
        <w:t>The report provides in depth analysis of the development situation in Iraq, particularly in relation to youth. This will be an important tool for national and international partners in planning programmes and interventions to support development in Iraq and to address youth issues.</w:t>
      </w:r>
    </w:p>
    <w:p w:rsidR="001C148B" w:rsidRDefault="001C148B" w:rsidP="001C148B">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4"/>
          <w:lang w:val="en-GB"/>
        </w:rPr>
      </w:pPr>
    </w:p>
    <w:p w:rsidR="001C148B" w:rsidRPr="00AF5902" w:rsidRDefault="00024D97" w:rsidP="001C148B">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2"/>
          <w:szCs w:val="22"/>
          <w:lang w:val="en-GB"/>
        </w:rPr>
      </w:pPr>
      <w:r>
        <w:rPr>
          <w:sz w:val="22"/>
          <w:szCs w:val="24"/>
          <w:lang w:val="en-GB"/>
        </w:rPr>
        <w:t>The main challenge in 2014 was the escalation of violence in certain parts of the country. This, however, had minimum impact on the achievement of results as activities were well planned ahead and located in areas not affected by the security incidents. The project also implemented actions to cope with the minor impact the incidents had on the planned activities.</w:t>
      </w:r>
    </w:p>
    <w:p w:rsidR="00261B0C" w:rsidRPr="00AF5902" w:rsidRDefault="00261B0C" w:rsidP="00261B0C">
      <w:pPr>
        <w:pStyle w:val="BodyText3"/>
        <w:rPr>
          <w:rFonts w:cs="Arial"/>
          <w:sz w:val="22"/>
          <w:szCs w:val="22"/>
          <w:lang w:val="en-GB"/>
        </w:rPr>
      </w:pPr>
    </w:p>
    <w:p w:rsidR="00261B0C" w:rsidRPr="00AF5902" w:rsidRDefault="00024D97" w:rsidP="00261B0C">
      <w:pPr>
        <w:pStyle w:val="BodyText3"/>
        <w:rPr>
          <w:rFonts w:cs="Arial"/>
          <w:sz w:val="22"/>
          <w:szCs w:val="22"/>
          <w:lang w:val="en-GB"/>
        </w:rPr>
      </w:pPr>
      <w:r>
        <w:rPr>
          <w:rFonts w:cs="Arial"/>
          <w:sz w:val="22"/>
          <w:szCs w:val="22"/>
          <w:lang w:val="en-GB"/>
        </w:rPr>
        <w:t>The main lesson learned is increase amount of support needed to the national team during the authoring of the report to ensure quality of analysis and the timely completion of the assignment.</w:t>
      </w:r>
    </w:p>
    <w:p w:rsidR="00261B0C" w:rsidRPr="00AF5902" w:rsidRDefault="00261B0C" w:rsidP="00261B0C">
      <w:pPr>
        <w:pStyle w:val="BodyText3"/>
        <w:rPr>
          <w:rFonts w:cs="Arial"/>
          <w:sz w:val="22"/>
          <w:szCs w:val="22"/>
          <w:lang w:val="en-GB"/>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261B0C" w:rsidRPr="00AF5902" w:rsidRDefault="00261B0C" w:rsidP="00261B0C">
      <w:pPr>
        <w:rPr>
          <w:szCs w:val="22"/>
        </w:rPr>
      </w:pPr>
    </w:p>
    <w:p w:rsidR="00024D97" w:rsidRDefault="00024D97">
      <w:pPr>
        <w:spacing w:after="200" w:line="276" w:lineRule="auto"/>
        <w:jc w:val="left"/>
        <w:rPr>
          <w:szCs w:val="22"/>
        </w:rPr>
      </w:pPr>
      <w:r>
        <w:rPr>
          <w:szCs w:val="22"/>
        </w:rPr>
        <w:br w:type="page"/>
      </w:r>
    </w:p>
    <w:p w:rsidR="00261B0C" w:rsidRPr="00AF5902" w:rsidRDefault="00261B0C" w:rsidP="00261B0C">
      <w:pPr>
        <w:rPr>
          <w:szCs w:val="22"/>
        </w:rPr>
      </w:pPr>
    </w:p>
    <w:p w:rsidR="00261B0C" w:rsidRPr="00AF5902" w:rsidRDefault="00261B0C" w:rsidP="00261B0C">
      <w:pPr>
        <w:pStyle w:val="Heading1"/>
        <w:numPr>
          <w:ilvl w:val="0"/>
          <w:numId w:val="2"/>
        </w:numPr>
        <w:jc w:val="left"/>
        <w:rPr>
          <w:rFonts w:ascii="Myriad Pro" w:hAnsi="Myriad Pro"/>
          <w:color w:val="33CCFF"/>
          <w:sz w:val="36"/>
          <w:szCs w:val="36"/>
          <w:lang w:val="en-GB"/>
        </w:rPr>
      </w:pPr>
      <w:bookmarkStart w:id="9" w:name="_Toc178675680"/>
      <w:bookmarkStart w:id="10" w:name="_Toc216068335"/>
      <w:r w:rsidRPr="00AF5902">
        <w:rPr>
          <w:rFonts w:ascii="Myriad Pro" w:hAnsi="Myriad Pro"/>
          <w:color w:val="33CCFF"/>
          <w:sz w:val="36"/>
          <w:szCs w:val="36"/>
        </w:rPr>
        <w:t>Context</w:t>
      </w:r>
      <w:bookmarkEnd w:id="9"/>
      <w:bookmarkEnd w:id="10"/>
      <w:r w:rsidRPr="00AF5902">
        <w:rPr>
          <w:rFonts w:ascii="Myriad Pro" w:hAnsi="Myriad Pro"/>
          <w:color w:val="33CCFF"/>
          <w:sz w:val="36"/>
          <w:szCs w:val="36"/>
          <w:lang w:val="en-GB"/>
        </w:rPr>
        <w:t xml:space="preserve"> </w:t>
      </w:r>
    </w:p>
    <w:p w:rsidR="00261B0C" w:rsidRPr="00AF5902" w:rsidRDefault="00261B0C" w:rsidP="00261B0C">
      <w:pPr>
        <w:rPr>
          <w:lang w:val="en-GB"/>
        </w:rPr>
      </w:pP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t>This project aims to support the preparation of the third Iraqi National Human Development Report (NHDR) and comes as a result of the communications between UNDP Iraq and the Ministry of Planning (</w:t>
      </w:r>
      <w:proofErr w:type="spellStart"/>
      <w:r w:rsidRPr="00526BDB">
        <w:rPr>
          <w:rFonts w:asciiTheme="minorHAnsi" w:eastAsia="Calibri" w:hAnsiTheme="minorHAnsi"/>
          <w:lang w:val="en-GB"/>
        </w:rPr>
        <w:t>MoP</w:t>
      </w:r>
      <w:proofErr w:type="spellEnd"/>
      <w:r w:rsidRPr="00526BDB">
        <w:rPr>
          <w:rFonts w:asciiTheme="minorHAnsi" w:eastAsia="Calibri" w:hAnsiTheme="minorHAnsi"/>
          <w:lang w:val="en-GB"/>
        </w:rPr>
        <w:t>) in August 2010. The main output of the project (the NDHR) will support development policy formulation and development planning with specific focus on Youth issues.</w:t>
      </w: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t>This is achieved through building national institutional and individual capacities to contribute to the preparation of the report. This includes government institutions, NGOs, and individuals from the academia, among others who will contribute to the report. The project supports the National Development Plan and the Youth Strategy through analysis, statistics, and policy recommendations, and the advocacy activities included in the project. Networks of experts and actors in Youth and Human Development areas are the basis of a pool of national expertise that will eventually contribute to future versions of the NHDR.</w:t>
      </w: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t>Rationale:</w:t>
      </w: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t>The basic rationale stems from the mandate of UNDP in supporting the preparation of Human Development Reports at the global, regional, and national levels.  Moreover, the project strongly relates to the achievement of MDG as it will provide the situational analysis and policy recommendations that guide the achievement of sustainable development and the MDG. The NHDR will directly inform both national development processes as well as the development support provided by the development community including UNDP.</w:t>
      </w: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t>Intended objectives:</w:t>
      </w:r>
    </w:p>
    <w:p w:rsidR="00026A70" w:rsidRPr="00526BDB" w:rsidRDefault="00026A70" w:rsidP="00026A70">
      <w:pPr>
        <w:numPr>
          <w:ilvl w:val="0"/>
          <w:numId w:val="22"/>
        </w:numPr>
        <w:rPr>
          <w:rFonts w:asciiTheme="minorHAnsi" w:eastAsia="Calibri" w:hAnsiTheme="minorHAnsi"/>
          <w:lang w:val="en-GB"/>
        </w:rPr>
      </w:pPr>
      <w:r w:rsidRPr="00526BDB">
        <w:rPr>
          <w:rFonts w:asciiTheme="minorHAnsi" w:eastAsia="Calibri" w:hAnsiTheme="minorHAnsi"/>
          <w:lang w:val="en-GB"/>
        </w:rPr>
        <w:t>Support development planning and policy making in Iraq</w:t>
      </w:r>
    </w:p>
    <w:p w:rsidR="00026A70" w:rsidRPr="00526BDB" w:rsidRDefault="00026A70" w:rsidP="00026A70">
      <w:pPr>
        <w:numPr>
          <w:ilvl w:val="0"/>
          <w:numId w:val="22"/>
        </w:numPr>
        <w:rPr>
          <w:rFonts w:asciiTheme="minorHAnsi" w:eastAsia="Calibri" w:hAnsiTheme="minorHAnsi"/>
          <w:lang w:val="en-GB"/>
        </w:rPr>
      </w:pPr>
      <w:r w:rsidRPr="00526BDB">
        <w:rPr>
          <w:rFonts w:asciiTheme="minorHAnsi" w:eastAsia="Calibri" w:hAnsiTheme="minorHAnsi"/>
          <w:lang w:val="en-GB"/>
        </w:rPr>
        <w:t>Building the capacity of national institutions to design and implement policies that invest in human capital and empowerment of vulnerable groups such as women and youth</w:t>
      </w:r>
    </w:p>
    <w:p w:rsidR="00026A70" w:rsidRPr="00526BDB" w:rsidRDefault="00026A70" w:rsidP="00026A70">
      <w:pPr>
        <w:numPr>
          <w:ilvl w:val="0"/>
          <w:numId w:val="22"/>
        </w:numPr>
        <w:rPr>
          <w:rFonts w:asciiTheme="minorHAnsi" w:eastAsia="Calibri" w:hAnsiTheme="minorHAnsi"/>
          <w:lang w:val="en-GB"/>
        </w:rPr>
      </w:pPr>
      <w:r w:rsidRPr="00526BDB">
        <w:rPr>
          <w:rFonts w:asciiTheme="minorHAnsi" w:eastAsia="Calibri" w:hAnsiTheme="minorHAnsi"/>
          <w:lang w:val="en-GB"/>
        </w:rPr>
        <w:t>Building the capacity of youth groups to participate and engage in decision making, social, economic, and political activities.</w:t>
      </w:r>
    </w:p>
    <w:p w:rsidR="00026A70" w:rsidRPr="00526BDB" w:rsidRDefault="00026A70" w:rsidP="00026A70">
      <w:pPr>
        <w:ind w:left="720"/>
        <w:rPr>
          <w:rFonts w:asciiTheme="minorHAnsi" w:eastAsia="Calibri" w:hAnsiTheme="minorHAnsi"/>
          <w:lang w:val="en-GB"/>
        </w:rPr>
      </w:pP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t>Intended beneficiaries:</w:t>
      </w:r>
    </w:p>
    <w:p w:rsidR="00026A70" w:rsidRPr="00526BDB" w:rsidRDefault="00026A70" w:rsidP="00026A70">
      <w:pPr>
        <w:numPr>
          <w:ilvl w:val="0"/>
          <w:numId w:val="22"/>
        </w:numPr>
        <w:rPr>
          <w:rFonts w:asciiTheme="minorHAnsi" w:eastAsia="Calibri" w:hAnsiTheme="minorHAnsi"/>
          <w:lang w:val="en-GB"/>
        </w:rPr>
      </w:pPr>
      <w:r w:rsidRPr="00526BDB">
        <w:rPr>
          <w:rFonts w:asciiTheme="minorHAnsi" w:eastAsia="Calibri" w:hAnsiTheme="minorHAnsi"/>
          <w:lang w:val="en-GB"/>
        </w:rPr>
        <w:t>National policy making and development planning institutions including the Ministries of Planning, Finance, Labour and Social Affairs, Education, Health, and Higher Education are the main beneficiaries as well as Governorate Offices and the Governorate Councils</w:t>
      </w:r>
    </w:p>
    <w:p w:rsidR="00026A70" w:rsidRPr="00526BDB" w:rsidRDefault="00026A70" w:rsidP="00026A70">
      <w:pPr>
        <w:numPr>
          <w:ilvl w:val="0"/>
          <w:numId w:val="22"/>
        </w:numPr>
        <w:rPr>
          <w:rFonts w:asciiTheme="minorHAnsi" w:eastAsia="Calibri" w:hAnsiTheme="minorHAnsi"/>
          <w:lang w:val="en-GB"/>
        </w:rPr>
      </w:pPr>
      <w:r w:rsidRPr="00526BDB">
        <w:rPr>
          <w:rFonts w:asciiTheme="minorHAnsi" w:eastAsia="Calibri" w:hAnsiTheme="minorHAnsi"/>
          <w:lang w:val="en-GB"/>
        </w:rPr>
        <w:t>Civil Society Organization, in particular those related to youth</w:t>
      </w:r>
    </w:p>
    <w:p w:rsidR="00026A70" w:rsidRPr="00526BDB" w:rsidRDefault="00026A70" w:rsidP="00026A70">
      <w:pPr>
        <w:numPr>
          <w:ilvl w:val="0"/>
          <w:numId w:val="22"/>
        </w:numPr>
        <w:rPr>
          <w:rFonts w:asciiTheme="minorHAnsi" w:eastAsia="Calibri" w:hAnsiTheme="minorHAnsi"/>
          <w:lang w:val="en-GB"/>
        </w:rPr>
      </w:pPr>
      <w:r w:rsidRPr="00526BDB">
        <w:rPr>
          <w:rFonts w:asciiTheme="minorHAnsi" w:eastAsia="Calibri" w:hAnsiTheme="minorHAnsi"/>
          <w:lang w:val="en-GB"/>
        </w:rPr>
        <w:t>UN Agencies and the International Community</w:t>
      </w:r>
    </w:p>
    <w:p w:rsidR="00026A70" w:rsidRPr="00526BDB" w:rsidRDefault="00026A70" w:rsidP="00026A70">
      <w:pPr>
        <w:ind w:left="720"/>
        <w:rPr>
          <w:rFonts w:asciiTheme="minorHAnsi" w:eastAsia="Calibri" w:hAnsiTheme="minorHAnsi"/>
          <w:lang w:val="en-GB"/>
        </w:rPr>
      </w:pP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t>Main project stakeholders:</w:t>
      </w:r>
    </w:p>
    <w:p w:rsidR="00026A70" w:rsidRPr="00526BDB" w:rsidRDefault="00026A70" w:rsidP="00026A70">
      <w:pPr>
        <w:numPr>
          <w:ilvl w:val="0"/>
          <w:numId w:val="21"/>
        </w:numPr>
        <w:rPr>
          <w:rFonts w:asciiTheme="minorHAnsi" w:eastAsia="Calibri" w:hAnsiTheme="minorHAnsi"/>
          <w:lang w:val="en-GB"/>
        </w:rPr>
      </w:pPr>
      <w:r w:rsidRPr="00526BDB">
        <w:rPr>
          <w:rFonts w:asciiTheme="minorHAnsi" w:eastAsia="Calibri" w:hAnsiTheme="minorHAnsi"/>
          <w:b/>
          <w:bCs/>
          <w:lang w:val="en-GB"/>
        </w:rPr>
        <w:t>National</w:t>
      </w:r>
      <w:r w:rsidRPr="00526BDB">
        <w:rPr>
          <w:rFonts w:asciiTheme="minorHAnsi" w:eastAsia="Calibri" w:hAnsiTheme="minorHAnsi"/>
          <w:lang w:val="en-GB"/>
        </w:rPr>
        <w:t xml:space="preserve">: Ministry of Planning, Baghdad, Central Statistics Organization, Kurdistan Region Statistics Office, </w:t>
      </w:r>
      <w:proofErr w:type="spellStart"/>
      <w:r w:rsidRPr="00526BDB">
        <w:rPr>
          <w:rFonts w:asciiTheme="minorHAnsi" w:eastAsia="Calibri" w:hAnsiTheme="minorHAnsi"/>
          <w:lang w:val="en-GB"/>
        </w:rPr>
        <w:t>Baytal</w:t>
      </w:r>
      <w:proofErr w:type="spellEnd"/>
      <w:r w:rsidRPr="00526BDB">
        <w:rPr>
          <w:rFonts w:asciiTheme="minorHAnsi" w:eastAsia="Calibri" w:hAnsiTheme="minorHAnsi"/>
          <w:lang w:val="en-GB"/>
        </w:rPr>
        <w:t xml:space="preserve"> </w:t>
      </w:r>
      <w:proofErr w:type="spellStart"/>
      <w:r w:rsidRPr="00526BDB">
        <w:rPr>
          <w:rFonts w:asciiTheme="minorHAnsi" w:eastAsia="Calibri" w:hAnsiTheme="minorHAnsi"/>
          <w:lang w:val="en-GB"/>
        </w:rPr>
        <w:t>Hikma</w:t>
      </w:r>
      <w:proofErr w:type="spellEnd"/>
      <w:r w:rsidRPr="00526BDB">
        <w:rPr>
          <w:rFonts w:asciiTheme="minorHAnsi" w:eastAsia="Calibri" w:hAnsiTheme="minorHAnsi"/>
          <w:lang w:val="en-GB"/>
        </w:rPr>
        <w:t xml:space="preserve"> (national think tank affiliated with the Ministry of Planning)</w:t>
      </w:r>
    </w:p>
    <w:p w:rsidR="00026A70" w:rsidRPr="00526BDB" w:rsidRDefault="00026A70" w:rsidP="00026A70">
      <w:pPr>
        <w:numPr>
          <w:ilvl w:val="0"/>
          <w:numId w:val="21"/>
        </w:numPr>
        <w:rPr>
          <w:rFonts w:asciiTheme="minorHAnsi" w:eastAsia="Calibri" w:hAnsiTheme="minorHAnsi"/>
          <w:lang w:val="en-GB"/>
        </w:rPr>
      </w:pPr>
      <w:r w:rsidRPr="00526BDB">
        <w:rPr>
          <w:rFonts w:asciiTheme="minorHAnsi" w:eastAsia="Calibri" w:hAnsiTheme="minorHAnsi"/>
          <w:b/>
          <w:bCs/>
          <w:lang w:val="en-GB"/>
        </w:rPr>
        <w:t>UN</w:t>
      </w:r>
      <w:r w:rsidRPr="00526BDB">
        <w:rPr>
          <w:rFonts w:asciiTheme="minorHAnsi" w:eastAsia="Calibri" w:hAnsiTheme="minorHAnsi"/>
          <w:lang w:val="en-GB"/>
        </w:rPr>
        <w:t>: UNDP, ESCWA</w:t>
      </w:r>
    </w:p>
    <w:p w:rsidR="00026A70" w:rsidRPr="00526BDB" w:rsidRDefault="00026A70" w:rsidP="00026A70">
      <w:pPr>
        <w:rPr>
          <w:rFonts w:asciiTheme="minorHAnsi" w:eastAsia="Calibri" w:hAnsiTheme="minorHAnsi"/>
          <w:lang w:val="en-GB"/>
        </w:rPr>
      </w:pP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br w:type="page"/>
      </w:r>
      <w:r w:rsidRPr="00526BDB">
        <w:rPr>
          <w:rFonts w:asciiTheme="minorHAnsi" w:eastAsia="Calibri" w:hAnsiTheme="minorHAnsi"/>
          <w:lang w:val="en-GB"/>
        </w:rPr>
        <w:lastRenderedPageBreak/>
        <w:t>Implementing arrangements:</w:t>
      </w:r>
    </w:p>
    <w:p w:rsidR="00026A70" w:rsidRPr="00526BDB" w:rsidRDefault="00026A70" w:rsidP="00026A70">
      <w:pPr>
        <w:rPr>
          <w:rFonts w:asciiTheme="minorHAnsi" w:eastAsia="Calibri" w:hAnsiTheme="minorHAnsi"/>
          <w:lang w:val="en-GB"/>
        </w:rPr>
      </w:pPr>
      <w:r w:rsidRPr="00526BDB">
        <w:rPr>
          <w:rFonts w:asciiTheme="minorHAnsi" w:eastAsia="Calibri" w:hAnsiTheme="minorHAnsi"/>
          <w:lang w:val="en-GB"/>
        </w:rPr>
        <w:t>The project is under Direct Implementation by UNDP Iraq. UNDP Iraq has allocated core resources from TRAC, complemented with additional funding from SOF 11888.</w:t>
      </w:r>
    </w:p>
    <w:p w:rsidR="00026A70" w:rsidRPr="00526BDB" w:rsidRDefault="00026A70" w:rsidP="00026A70">
      <w:pPr>
        <w:rPr>
          <w:rFonts w:asciiTheme="minorHAnsi" w:eastAsia="Calibri" w:hAnsiTheme="minorHAnsi"/>
          <w:b/>
          <w:bCs/>
          <w:lang w:val="en-GB"/>
        </w:rPr>
      </w:pPr>
      <w:r w:rsidRPr="00526BDB">
        <w:rPr>
          <w:rFonts w:asciiTheme="minorHAnsi" w:eastAsia="Calibri" w:hAnsiTheme="minorHAnsi"/>
          <w:b/>
          <w:bCs/>
          <w:lang w:val="en-GB"/>
        </w:rPr>
        <w:t>Reference to institutional documents:</w:t>
      </w:r>
    </w:p>
    <w:p w:rsidR="00026A70" w:rsidRPr="00526BDB" w:rsidRDefault="00026A70" w:rsidP="00026A70">
      <w:pPr>
        <w:rPr>
          <w:rFonts w:asciiTheme="minorHAnsi" w:eastAsia="Calibri" w:hAnsiTheme="minorHAnsi"/>
          <w:lang w:val="en-GB"/>
        </w:rPr>
      </w:pPr>
      <w:r w:rsidRPr="00526BDB">
        <w:rPr>
          <w:rFonts w:asciiTheme="minorHAnsi" w:eastAsia="Calibri" w:hAnsiTheme="minorHAnsi"/>
          <w:b/>
          <w:bCs/>
          <w:lang w:val="en-GB"/>
        </w:rPr>
        <w:t>NDP</w:t>
      </w:r>
      <w:r w:rsidRPr="00526BDB">
        <w:rPr>
          <w:rFonts w:asciiTheme="minorHAnsi" w:eastAsia="Calibri" w:hAnsiTheme="minorHAnsi"/>
          <w:lang w:val="en-GB"/>
        </w:rPr>
        <w:t>: Chapter 9(2): Training the young, helping them overcome social challenges and participate effectively in building society.</w:t>
      </w:r>
    </w:p>
    <w:p w:rsidR="00026A70" w:rsidRPr="00526BDB" w:rsidRDefault="00026A70" w:rsidP="00026A70">
      <w:pPr>
        <w:rPr>
          <w:rFonts w:asciiTheme="minorHAnsi" w:eastAsia="Calibri" w:hAnsiTheme="minorHAnsi"/>
          <w:lang w:val="en-GB"/>
        </w:rPr>
      </w:pPr>
      <w:r w:rsidRPr="00526BDB">
        <w:rPr>
          <w:rFonts w:asciiTheme="minorHAnsi" w:eastAsia="Calibri" w:hAnsiTheme="minorHAnsi"/>
          <w:b/>
          <w:bCs/>
          <w:lang w:val="en-GB"/>
        </w:rPr>
        <w:t>UNDAF</w:t>
      </w:r>
      <w:r w:rsidRPr="00526BDB">
        <w:rPr>
          <w:rFonts w:asciiTheme="minorHAnsi" w:eastAsia="Calibri" w:hAnsiTheme="minorHAnsi"/>
          <w:lang w:val="en-GB"/>
        </w:rPr>
        <w:t>:  Priority Area 5: Investment in human capital and empowerment of women, youth and children.</w:t>
      </w:r>
    </w:p>
    <w:p w:rsidR="00026A70" w:rsidRPr="00526BDB" w:rsidRDefault="00026A70" w:rsidP="00026A70">
      <w:pPr>
        <w:pStyle w:val="Default"/>
        <w:jc w:val="both"/>
        <w:rPr>
          <w:rFonts w:asciiTheme="minorHAnsi" w:eastAsia="Calibri" w:hAnsiTheme="minorHAnsi"/>
          <w:sz w:val="22"/>
          <w:szCs w:val="22"/>
          <w:lang w:val="en-GB"/>
        </w:rPr>
      </w:pPr>
      <w:r w:rsidRPr="00526BDB">
        <w:rPr>
          <w:rFonts w:asciiTheme="minorHAnsi" w:eastAsia="Calibri" w:hAnsiTheme="minorHAnsi"/>
          <w:b/>
          <w:bCs/>
          <w:sz w:val="22"/>
          <w:szCs w:val="22"/>
          <w:lang w:val="en-GB"/>
        </w:rPr>
        <w:t>CPAP</w:t>
      </w:r>
      <w:r w:rsidRPr="00526BDB">
        <w:rPr>
          <w:rFonts w:asciiTheme="minorHAnsi" w:eastAsia="Calibri" w:hAnsiTheme="minorHAnsi"/>
          <w:sz w:val="22"/>
          <w:szCs w:val="22"/>
          <w:lang w:val="en-GB"/>
        </w:rPr>
        <w:t xml:space="preserve"> Outcome 4: </w:t>
      </w:r>
      <w:proofErr w:type="spellStart"/>
      <w:r w:rsidRPr="00526BDB">
        <w:rPr>
          <w:rFonts w:asciiTheme="minorHAnsi" w:eastAsia="Calibri" w:hAnsiTheme="minorHAnsi"/>
          <w:sz w:val="22"/>
          <w:szCs w:val="22"/>
          <w:lang w:val="en-GB"/>
        </w:rPr>
        <w:t>GoI</w:t>
      </w:r>
      <w:proofErr w:type="spellEnd"/>
      <w:r w:rsidRPr="00526BDB">
        <w:rPr>
          <w:rFonts w:asciiTheme="minorHAnsi" w:eastAsia="Calibri" w:hAnsiTheme="minorHAnsi"/>
          <w:sz w:val="22"/>
          <w:szCs w:val="22"/>
          <w:lang w:val="en-GB"/>
        </w:rPr>
        <w:t xml:space="preserve"> has the institutional framework to develop and implement MDG-based pro-poor, equitable and inclusive socio-economic and environmental policies and strategies. </w:t>
      </w:r>
    </w:p>
    <w:p w:rsidR="005F0A42" w:rsidRPr="00AF5902" w:rsidRDefault="005F0A42" w:rsidP="00261B0C">
      <w:pPr>
        <w:rPr>
          <w:lang w:val="en-GB"/>
        </w:rPr>
      </w:pPr>
    </w:p>
    <w:p w:rsidR="005F0A42" w:rsidRPr="00AF5902" w:rsidRDefault="005F0A42" w:rsidP="00261B0C">
      <w:pPr>
        <w:rPr>
          <w:lang w:val="en-GB"/>
        </w:rPr>
      </w:pPr>
    </w:p>
    <w:p w:rsidR="00261B0C" w:rsidRPr="00AF5902" w:rsidRDefault="00261B0C" w:rsidP="00261B0C">
      <w:pPr>
        <w:pStyle w:val="Heading1"/>
        <w:rPr>
          <w:rFonts w:ascii="Myriad Pro" w:hAnsi="Myriad Pro"/>
          <w:color w:val="33CCFF"/>
          <w:sz w:val="36"/>
          <w:szCs w:val="36"/>
          <w:lang w:val="en-GB"/>
        </w:rPr>
      </w:pPr>
      <w:bookmarkStart w:id="11" w:name="_Toc216068336"/>
      <w:r w:rsidRPr="00AF5902">
        <w:rPr>
          <w:rFonts w:ascii="Myriad Pro" w:hAnsi="Myriad Pro"/>
          <w:color w:val="33CCFF"/>
          <w:sz w:val="36"/>
          <w:szCs w:val="36"/>
          <w:lang w:val="en-GB"/>
        </w:rPr>
        <w:t>II. Performance review</w:t>
      </w:r>
      <w:bookmarkEnd w:id="11"/>
      <w:r w:rsidRPr="00AF5902">
        <w:rPr>
          <w:rFonts w:ascii="Myriad Pro" w:hAnsi="Myriad Pro"/>
          <w:color w:val="33CCFF"/>
          <w:sz w:val="36"/>
          <w:szCs w:val="36"/>
          <w:lang w:val="en-GB"/>
        </w:rPr>
        <w:t xml:space="preserve"> </w:t>
      </w:r>
    </w:p>
    <w:p w:rsidR="00261B0C" w:rsidRPr="00AF5902" w:rsidRDefault="00261B0C" w:rsidP="00261B0C">
      <w:pPr>
        <w:pStyle w:val="Heading2"/>
        <w:rPr>
          <w:rFonts w:ascii="Myriad Pro" w:hAnsi="Myriad Pro"/>
          <w:color w:val="33CCFF"/>
          <w:sz w:val="28"/>
          <w:szCs w:val="28"/>
          <w:lang w:val="en-GB"/>
        </w:rPr>
      </w:pPr>
      <w:bookmarkStart w:id="12" w:name="_Toc154209172"/>
      <w:bookmarkStart w:id="13" w:name="_Toc178587732"/>
      <w:bookmarkStart w:id="14" w:name="_Toc178675683"/>
      <w:bookmarkStart w:id="15" w:name="_Toc216068337"/>
      <w:r w:rsidRPr="00AF5902">
        <w:rPr>
          <w:rFonts w:ascii="Myriad Pro" w:hAnsi="Myriad Pro"/>
          <w:color w:val="33CCFF"/>
          <w:sz w:val="28"/>
          <w:szCs w:val="28"/>
          <w:lang w:val="en-GB"/>
        </w:rPr>
        <w:t>Progress review</w:t>
      </w:r>
      <w:bookmarkEnd w:id="12"/>
      <w:bookmarkEnd w:id="13"/>
      <w:bookmarkEnd w:id="14"/>
      <w:bookmarkEnd w:id="15"/>
      <w:r w:rsidRPr="00AF5902">
        <w:rPr>
          <w:rFonts w:ascii="Myriad Pro" w:hAnsi="Myriad Pro"/>
          <w:color w:val="33CCFF"/>
          <w:sz w:val="28"/>
          <w:szCs w:val="28"/>
          <w:lang w:val="en-GB"/>
        </w:rPr>
        <w:t xml:space="preserve"> </w:t>
      </w:r>
    </w:p>
    <w:p w:rsidR="00261B0C" w:rsidRPr="00AF5902" w:rsidRDefault="00261B0C" w:rsidP="00261B0C">
      <w:pPr>
        <w:rPr>
          <w:lang w:val="en-GB"/>
        </w:rPr>
      </w:pPr>
    </w:p>
    <w:p w:rsidR="00261B0C" w:rsidRPr="00C1303E" w:rsidRDefault="00261B0C" w:rsidP="00F90115">
      <w:pPr>
        <w:pStyle w:val="Heading3"/>
        <w:numPr>
          <w:ilvl w:val="0"/>
          <w:numId w:val="17"/>
        </w:numPr>
        <w:rPr>
          <w:rStyle w:val="IntenseEmphasis"/>
          <w:b/>
          <w:bCs/>
          <w:i w:val="0"/>
          <w:iCs w:val="0"/>
          <w:color w:val="66CCFF"/>
          <w:sz w:val="24"/>
        </w:rPr>
      </w:pPr>
      <w:bookmarkStart w:id="16" w:name="_Toc154140532"/>
      <w:bookmarkStart w:id="17" w:name="_Toc154140587"/>
      <w:bookmarkStart w:id="18" w:name="_Toc154209175"/>
      <w:bookmarkStart w:id="19" w:name="_Toc178587124"/>
      <w:bookmarkStart w:id="20" w:name="_Toc178675684"/>
      <w:bookmarkStart w:id="21" w:name="_Toc216068338"/>
      <w:r w:rsidRPr="00C1303E">
        <w:rPr>
          <w:rStyle w:val="IntenseEmphasis"/>
          <w:b/>
          <w:bCs/>
          <w:i w:val="0"/>
          <w:iCs w:val="0"/>
          <w:color w:val="66CCFF"/>
          <w:sz w:val="24"/>
        </w:rPr>
        <w:t>Overall progress towards the CPAP outcome and output(s)</w:t>
      </w:r>
      <w:bookmarkEnd w:id="16"/>
      <w:bookmarkEnd w:id="17"/>
      <w:bookmarkEnd w:id="18"/>
      <w:bookmarkEnd w:id="19"/>
      <w:bookmarkEnd w:id="20"/>
      <w:bookmarkEnd w:id="21"/>
      <w:r w:rsidR="00AF5902" w:rsidRPr="00C1303E">
        <w:rPr>
          <w:rStyle w:val="IntenseEmphasis"/>
          <w:b/>
          <w:bCs/>
          <w:i w:val="0"/>
          <w:iCs w:val="0"/>
          <w:color w:val="66CCFF"/>
          <w:sz w:val="24"/>
        </w:rPr>
        <w:t xml:space="preserve"> </w:t>
      </w:r>
    </w:p>
    <w:p w:rsidR="00AF5902" w:rsidRDefault="00AF5902" w:rsidP="00AF5902">
      <w:pPr>
        <w:pStyle w:val="NoSpacing"/>
        <w:ind w:left="360"/>
        <w:rPr>
          <w:rStyle w:val="IntenseEmphasis"/>
          <w:rFonts w:eastAsiaTheme="majorEastAsia"/>
          <w:i w:val="0"/>
          <w:iCs w:val="0"/>
          <w:color w:val="33CCFF"/>
        </w:rPr>
      </w:pPr>
    </w:p>
    <w:p w:rsidR="002F7675" w:rsidRPr="002F7675" w:rsidRDefault="002F7675" w:rsidP="002F7675">
      <w:pPr>
        <w:autoSpaceDE w:val="0"/>
        <w:autoSpaceDN w:val="0"/>
        <w:adjustRightInd w:val="0"/>
        <w:rPr>
          <w:rFonts w:ascii="Arial" w:eastAsiaTheme="minorHAnsi" w:hAnsi="Arial" w:cs="Arial"/>
          <w:sz w:val="24"/>
        </w:rPr>
      </w:pPr>
    </w:p>
    <w:p w:rsidR="002F7675" w:rsidRDefault="002F7675" w:rsidP="002F7675">
      <w:pPr>
        <w:pStyle w:val="NoSpacing"/>
        <w:ind w:left="360"/>
        <w:rPr>
          <w:lang w:val="en-GB"/>
        </w:rPr>
      </w:pPr>
      <w:r>
        <w:rPr>
          <w:lang w:val="en-GB"/>
        </w:rPr>
        <w:t>The NHDR 2014 adds a tool for policy formulation and development planning through the qualitative analysis and quantitative assessment of development issues in Iraq. The report identified Youth as a priority area and provided in-depth analysis supported by empirical evidence.</w:t>
      </w:r>
    </w:p>
    <w:p w:rsidR="002F7675" w:rsidRDefault="002F7675" w:rsidP="002F7675">
      <w:pPr>
        <w:pStyle w:val="NoSpacing"/>
        <w:ind w:left="360"/>
        <w:rPr>
          <w:lang w:val="en-GB"/>
        </w:rPr>
      </w:pPr>
    </w:p>
    <w:p w:rsidR="002F7675" w:rsidRDefault="002F7675" w:rsidP="002F7675">
      <w:pPr>
        <w:pStyle w:val="NoSpacing"/>
        <w:ind w:left="360"/>
        <w:rPr>
          <w:lang w:val="en-GB"/>
        </w:rPr>
      </w:pPr>
      <w:r>
        <w:rPr>
          <w:lang w:val="en-GB"/>
        </w:rPr>
        <w:t>The report includes a final chapter in which the policy recommendations are summarized. This was achieved to specifically address the requirements of national and regional policy makers and planners in the Iraqi government to address issues related to Youth and development in general.</w:t>
      </w:r>
    </w:p>
    <w:p w:rsidR="002F7675" w:rsidRDefault="002F7675" w:rsidP="002F7675">
      <w:pPr>
        <w:pStyle w:val="NoSpacing"/>
        <w:ind w:left="360"/>
        <w:rPr>
          <w:lang w:val="en-GB"/>
        </w:rPr>
      </w:pPr>
    </w:p>
    <w:p w:rsidR="002F7675" w:rsidRPr="00D4758C" w:rsidRDefault="002F7675" w:rsidP="00D4758C">
      <w:pPr>
        <w:pStyle w:val="NoSpacing"/>
        <w:ind w:left="360"/>
        <w:rPr>
          <w:lang w:val="en-GB"/>
        </w:rPr>
      </w:pPr>
      <w:r>
        <w:rPr>
          <w:lang w:val="en-GB"/>
        </w:rPr>
        <w:t>The report, therefore contributes directly to CPAP Outcome 4</w:t>
      </w:r>
      <w:r w:rsidR="000742F6">
        <w:rPr>
          <w:lang w:val="en-GB"/>
        </w:rPr>
        <w:t xml:space="preserve"> as intended</w:t>
      </w:r>
      <w:r>
        <w:rPr>
          <w:lang w:val="en-GB"/>
        </w:rPr>
        <w:t xml:space="preserve">: </w:t>
      </w:r>
      <w:r w:rsidR="00D4758C">
        <w:rPr>
          <w:lang w:val="en-GB"/>
        </w:rPr>
        <w:t>“</w:t>
      </w:r>
      <w:proofErr w:type="spellStart"/>
      <w:r w:rsidRPr="002F7675">
        <w:rPr>
          <w:lang w:val="en-GB"/>
        </w:rPr>
        <w:t>GoI</w:t>
      </w:r>
      <w:proofErr w:type="spellEnd"/>
      <w:r w:rsidRPr="002F7675">
        <w:rPr>
          <w:lang w:val="en-GB"/>
        </w:rPr>
        <w:t xml:space="preserve"> has the institutional framework to develop and implement MDG-based pro-poor, equitable and inclusive socio-economic and environmental policies and strategies</w:t>
      </w:r>
      <w:r w:rsidR="00D4758C">
        <w:rPr>
          <w:lang w:val="en-GB"/>
        </w:rPr>
        <w:t>” and its output: “</w:t>
      </w:r>
      <w:r w:rsidRPr="002F7675">
        <w:rPr>
          <w:lang w:val="en-GB"/>
        </w:rPr>
        <w:t>National and regional statistical offices capacitated for MDG monitoring and reporting for informed policy and national</w:t>
      </w:r>
      <w:r w:rsidR="00D4758C">
        <w:rPr>
          <w:lang w:val="en-GB"/>
        </w:rPr>
        <w:t xml:space="preserve"> development planning processes”.</w:t>
      </w:r>
    </w:p>
    <w:p w:rsidR="002F7675" w:rsidRPr="002F7675" w:rsidRDefault="002F7675" w:rsidP="002F7675">
      <w:pPr>
        <w:pStyle w:val="NoSpacing"/>
        <w:ind w:left="360"/>
        <w:rPr>
          <w:lang w:val="en-GB"/>
        </w:rPr>
      </w:pPr>
    </w:p>
    <w:p w:rsidR="002F7675" w:rsidRPr="002F7675" w:rsidRDefault="002F7675" w:rsidP="008A0445">
      <w:pPr>
        <w:pStyle w:val="NoSpacing"/>
        <w:ind w:left="360"/>
        <w:rPr>
          <w:b/>
          <w:bCs/>
          <w:lang w:val="en-GB"/>
        </w:rPr>
      </w:pPr>
    </w:p>
    <w:p w:rsidR="00D4758C" w:rsidRDefault="00D4758C">
      <w:pPr>
        <w:spacing w:after="200" w:line="276" w:lineRule="auto"/>
        <w:jc w:val="left"/>
        <w:rPr>
          <w:rStyle w:val="IntenseEmphasis"/>
          <w:rFonts w:asciiTheme="majorHAnsi" w:eastAsiaTheme="majorEastAsia" w:hAnsiTheme="majorHAnsi" w:cstheme="majorBidi"/>
          <w:i w:val="0"/>
          <w:iCs w:val="0"/>
          <w:color w:val="66CCFF"/>
          <w:sz w:val="24"/>
        </w:rPr>
      </w:pPr>
      <w:bookmarkStart w:id="22" w:name="_Toc154140534"/>
      <w:bookmarkStart w:id="23" w:name="_Toc154140589"/>
      <w:bookmarkStart w:id="24" w:name="_Toc154209176"/>
      <w:bookmarkStart w:id="25" w:name="_Toc178587125"/>
      <w:bookmarkStart w:id="26" w:name="_Toc178675685"/>
      <w:bookmarkStart w:id="27" w:name="_Toc216068339"/>
      <w:r>
        <w:rPr>
          <w:rStyle w:val="IntenseEmphasis"/>
          <w:b w:val="0"/>
          <w:bCs w:val="0"/>
          <w:i w:val="0"/>
          <w:iCs w:val="0"/>
          <w:color w:val="66CCFF"/>
          <w:sz w:val="24"/>
        </w:rPr>
        <w:br w:type="page"/>
      </w:r>
    </w:p>
    <w:p w:rsidR="00261B0C" w:rsidRPr="00C1303E" w:rsidRDefault="00261B0C" w:rsidP="00F90115">
      <w:pPr>
        <w:pStyle w:val="Heading3"/>
        <w:numPr>
          <w:ilvl w:val="0"/>
          <w:numId w:val="17"/>
        </w:numPr>
        <w:rPr>
          <w:rStyle w:val="IntenseEmphasis"/>
          <w:b/>
          <w:bCs/>
          <w:i w:val="0"/>
          <w:iCs w:val="0"/>
          <w:color w:val="66CCFF"/>
          <w:sz w:val="24"/>
        </w:rPr>
      </w:pPr>
      <w:r w:rsidRPr="00C1303E">
        <w:rPr>
          <w:rStyle w:val="IntenseEmphasis"/>
          <w:b/>
          <w:bCs/>
          <w:i w:val="0"/>
          <w:iCs w:val="0"/>
          <w:color w:val="66CCFF"/>
          <w:sz w:val="24"/>
        </w:rPr>
        <w:lastRenderedPageBreak/>
        <w:t>Capacity development</w:t>
      </w:r>
      <w:bookmarkEnd w:id="22"/>
      <w:bookmarkEnd w:id="23"/>
      <w:bookmarkEnd w:id="24"/>
      <w:bookmarkEnd w:id="25"/>
      <w:bookmarkEnd w:id="26"/>
      <w:bookmarkEnd w:id="27"/>
    </w:p>
    <w:p w:rsidR="00AF5902" w:rsidRDefault="00AF5902" w:rsidP="00AF5902">
      <w:pPr>
        <w:pStyle w:val="ListParagraph"/>
        <w:ind w:left="360"/>
        <w:rPr>
          <w:lang w:val="en-GB"/>
        </w:rPr>
      </w:pPr>
    </w:p>
    <w:p w:rsidR="00AF5902" w:rsidRDefault="00C40CE9" w:rsidP="00C40CE9">
      <w:pPr>
        <w:pStyle w:val="ListParagraph"/>
        <w:ind w:left="360"/>
        <w:rPr>
          <w:lang w:val="en-GB"/>
        </w:rPr>
      </w:pPr>
      <w:r>
        <w:rPr>
          <w:lang w:val="en-GB"/>
        </w:rPr>
        <w:t xml:space="preserve">Capacity development in preparing the National Human Development Reports is the core objective of the project. Most of the capacity building activities related to this objective </w:t>
      </w:r>
      <w:r w:rsidR="0083726D">
        <w:rPr>
          <w:lang w:val="en-GB"/>
        </w:rPr>
        <w:t>were</w:t>
      </w:r>
      <w:r>
        <w:rPr>
          <w:lang w:val="en-GB"/>
        </w:rPr>
        <w:t xml:space="preserve"> achieved in the years 2011-2013. The year 2014, however, was mainly occupied with the production of the report in terms of editing, design, and production that was mostly undertaken by </w:t>
      </w:r>
      <w:r w:rsidR="0083726D">
        <w:rPr>
          <w:lang w:val="en-GB"/>
        </w:rPr>
        <w:t xml:space="preserve">the </w:t>
      </w:r>
      <w:r>
        <w:rPr>
          <w:lang w:val="en-GB"/>
        </w:rPr>
        <w:t xml:space="preserve">project directly and did not offer </w:t>
      </w:r>
      <w:r w:rsidR="0083726D">
        <w:rPr>
          <w:lang w:val="en-GB"/>
        </w:rPr>
        <w:t>capacity building opportunities to the national counterpart.</w:t>
      </w:r>
    </w:p>
    <w:p w:rsidR="00C40CE9" w:rsidRDefault="00C40CE9" w:rsidP="00C40CE9">
      <w:pPr>
        <w:pStyle w:val="ListParagraph"/>
        <w:ind w:left="360"/>
        <w:rPr>
          <w:lang w:val="en-GB"/>
        </w:rPr>
      </w:pPr>
    </w:p>
    <w:p w:rsidR="00C40CE9" w:rsidRDefault="00C40CE9" w:rsidP="00C40CE9">
      <w:pPr>
        <w:pStyle w:val="ListParagraph"/>
        <w:ind w:left="360"/>
        <w:rPr>
          <w:lang w:val="en-GB"/>
        </w:rPr>
      </w:pPr>
      <w:r>
        <w:rPr>
          <w:lang w:val="en-GB"/>
        </w:rPr>
        <w:t>However, the launch of the report and making it available to policy makers and development planners represents an important contribution to national capacities. The analysis, data, and policy recommendations offered in the report links directly to a number of high level processes taking place in the country such as the formulation and update of various national strategies that include the NDP, the National Youth Strategy, and the National Population Strategy.</w:t>
      </w:r>
      <w:r w:rsidR="0083726D">
        <w:rPr>
          <w:lang w:val="en-GB"/>
        </w:rPr>
        <w:t xml:space="preserve"> Feedback from the Ministry of Youth indicates their intention to revise the National Youth Strategy on the basis of some important findings of the Iraq NHDR 2014.</w:t>
      </w:r>
    </w:p>
    <w:p w:rsidR="0083726D" w:rsidRDefault="0083726D" w:rsidP="00C40CE9">
      <w:pPr>
        <w:pStyle w:val="ListParagraph"/>
        <w:ind w:left="360"/>
        <w:rPr>
          <w:lang w:val="en-GB"/>
        </w:rPr>
      </w:pPr>
    </w:p>
    <w:p w:rsidR="0083726D" w:rsidRPr="00AF5902" w:rsidRDefault="0083726D" w:rsidP="00036A7F">
      <w:pPr>
        <w:pStyle w:val="ListParagraph"/>
        <w:ind w:left="360"/>
        <w:rPr>
          <w:lang w:val="en-GB"/>
        </w:rPr>
      </w:pPr>
      <w:r>
        <w:rPr>
          <w:lang w:val="en-GB"/>
        </w:rPr>
        <w:t xml:space="preserve">The report’s Communication Strategy (CS) also represents a useful tool that will help the Ministry of Planning promote the findings of the Iraq NHDR 2014 through a wide national network of actors, and will help these actors advocate the case for youth issues. The CS was planned to be mobilized through a set to two training workshops in Iraq throughout the year 2014. The escalation of violence </w:t>
      </w:r>
      <w:r w:rsidR="0047687D">
        <w:rPr>
          <w:lang w:val="en-GB"/>
        </w:rPr>
        <w:t xml:space="preserve">in the first half of 2014 </w:t>
      </w:r>
      <w:r>
        <w:rPr>
          <w:lang w:val="en-GB"/>
        </w:rPr>
        <w:t xml:space="preserve">and the </w:t>
      </w:r>
      <w:r w:rsidR="00036A7F">
        <w:rPr>
          <w:lang w:val="en-GB"/>
        </w:rPr>
        <w:t xml:space="preserve">invasion of the country by the ISIS militia prevented the implementation of this activity. Post-project support is considered to address the requirements of the Ministry of Planning in implementing the CS </w:t>
      </w:r>
      <w:r w:rsidR="0047687D">
        <w:rPr>
          <w:lang w:val="en-GB"/>
        </w:rPr>
        <w:t xml:space="preserve">which will be conducted </w:t>
      </w:r>
      <w:r w:rsidR="00036A7F">
        <w:rPr>
          <w:lang w:val="en-GB"/>
        </w:rPr>
        <w:t>with their own internal resources.</w:t>
      </w:r>
    </w:p>
    <w:p w:rsidR="00AF5902" w:rsidRPr="00AF5902" w:rsidRDefault="00AF5902" w:rsidP="00AF5902">
      <w:pPr>
        <w:pStyle w:val="NoSpacing"/>
        <w:ind w:left="360"/>
        <w:rPr>
          <w:rStyle w:val="IntenseEmphasis"/>
          <w:rFonts w:eastAsiaTheme="majorEastAsia"/>
          <w:i w:val="0"/>
          <w:iCs w:val="0"/>
          <w:color w:val="33CCFF"/>
        </w:rPr>
      </w:pPr>
    </w:p>
    <w:p w:rsidR="00261B0C" w:rsidRPr="00C1303E" w:rsidRDefault="00261B0C" w:rsidP="00F90115">
      <w:pPr>
        <w:pStyle w:val="Heading3"/>
        <w:numPr>
          <w:ilvl w:val="0"/>
          <w:numId w:val="17"/>
        </w:numPr>
        <w:rPr>
          <w:color w:val="66CCFF"/>
          <w:sz w:val="24"/>
        </w:rPr>
      </w:pPr>
      <w:bookmarkStart w:id="28" w:name="_Toc154140535"/>
      <w:bookmarkStart w:id="29" w:name="_Toc154140590"/>
      <w:bookmarkStart w:id="30" w:name="_Toc154209177"/>
      <w:bookmarkStart w:id="31" w:name="_Toc178587126"/>
      <w:bookmarkStart w:id="32" w:name="_Toc178675686"/>
      <w:bookmarkStart w:id="33" w:name="_Toc216068340"/>
      <w:r w:rsidRPr="00C1303E">
        <w:rPr>
          <w:rStyle w:val="IntenseEmphasis"/>
          <w:b/>
          <w:bCs/>
          <w:i w:val="0"/>
          <w:iCs w:val="0"/>
          <w:color w:val="66CCFF"/>
          <w:sz w:val="24"/>
        </w:rPr>
        <w:t>Impact on direct and indirect beneficiaries</w:t>
      </w:r>
      <w:bookmarkEnd w:id="28"/>
      <w:bookmarkEnd w:id="29"/>
      <w:bookmarkEnd w:id="30"/>
      <w:bookmarkEnd w:id="31"/>
      <w:bookmarkEnd w:id="32"/>
      <w:bookmarkEnd w:id="33"/>
    </w:p>
    <w:p w:rsidR="00AF5902" w:rsidRPr="00AF5902" w:rsidRDefault="00AF5902" w:rsidP="00AF5902">
      <w:pPr>
        <w:rPr>
          <w:lang w:val="en-GB"/>
        </w:rPr>
      </w:pPr>
    </w:p>
    <w:p w:rsidR="00036A7F" w:rsidRDefault="0047687D" w:rsidP="00036A7F">
      <w:pPr>
        <w:tabs>
          <w:tab w:val="num" w:pos="440"/>
        </w:tabs>
        <w:ind w:left="360"/>
        <w:rPr>
          <w:lang w:val="en-GB"/>
        </w:rPr>
      </w:pPr>
      <w:r>
        <w:rPr>
          <w:lang w:val="en-GB"/>
        </w:rPr>
        <w:t>At the centre of the national direct beneficiaries is the ministerial structure of Iraq. The report was launched on 17 Dec 2014 in Baghdad under the sponsorship of the Iraqi Prime Minister who expressed his full endorsement of the report in his keynote speech. The fact that the Iraqi cabinet has endorsed the report is a major achievement</w:t>
      </w:r>
      <w:r w:rsidR="00973F5C">
        <w:rPr>
          <w:lang w:val="en-GB"/>
        </w:rPr>
        <w:t xml:space="preserve"> that will facilitate the mobilization of the report’s findings in the work of the various line ministries involved in providing development support</w:t>
      </w:r>
      <w:r>
        <w:rPr>
          <w:lang w:val="en-GB"/>
        </w:rPr>
        <w:t xml:space="preserve"> </w:t>
      </w:r>
      <w:r w:rsidR="00973F5C">
        <w:rPr>
          <w:lang w:val="en-GB"/>
        </w:rPr>
        <w:t>to the population.</w:t>
      </w:r>
    </w:p>
    <w:p w:rsidR="00973F5C" w:rsidRDefault="00973F5C" w:rsidP="00036A7F">
      <w:pPr>
        <w:tabs>
          <w:tab w:val="num" w:pos="440"/>
        </w:tabs>
        <w:ind w:left="360"/>
        <w:rPr>
          <w:lang w:val="en-GB"/>
        </w:rPr>
      </w:pPr>
    </w:p>
    <w:p w:rsidR="00261B0C" w:rsidRDefault="00973F5C" w:rsidP="00973F5C">
      <w:pPr>
        <w:tabs>
          <w:tab w:val="num" w:pos="440"/>
        </w:tabs>
        <w:ind w:left="360"/>
        <w:rPr>
          <w:lang w:val="en-GB"/>
        </w:rPr>
      </w:pPr>
      <w:r>
        <w:rPr>
          <w:lang w:val="en-GB"/>
        </w:rPr>
        <w:t>Owing to the recent launch of the report, the signs of actual usage of the report in promoting development issues and youth related issues have not materialized yet. UNDP will maintain communication with the Ministry of Planning to monitor the impact of the report and process the feedback in future activities.</w:t>
      </w:r>
    </w:p>
    <w:p w:rsidR="00973F5C" w:rsidRDefault="00973F5C" w:rsidP="00973F5C">
      <w:pPr>
        <w:tabs>
          <w:tab w:val="num" w:pos="440"/>
        </w:tabs>
        <w:ind w:left="360"/>
        <w:rPr>
          <w:lang w:val="en-GB"/>
        </w:rPr>
      </w:pPr>
    </w:p>
    <w:p w:rsidR="00973F5C" w:rsidRDefault="00973F5C" w:rsidP="00A30999">
      <w:pPr>
        <w:tabs>
          <w:tab w:val="num" w:pos="440"/>
        </w:tabs>
        <w:ind w:left="360"/>
        <w:rPr>
          <w:lang w:val="en-GB"/>
        </w:rPr>
      </w:pPr>
      <w:r>
        <w:rPr>
          <w:lang w:val="en-GB"/>
        </w:rPr>
        <w:t xml:space="preserve">Youth groups that participated in the </w:t>
      </w:r>
      <w:r w:rsidR="00A30999">
        <w:rPr>
          <w:lang w:val="en-GB"/>
        </w:rPr>
        <w:t>consultation process of the report are already showing signs of healthy ownership of the report. The representatives of the Youth networks that participated were all present in the launching ceremony and have expressed their assurance to promote the report’s findings and advocate its issues through their networks. They proposed to formulate a plan of action</w:t>
      </w:r>
      <w:r w:rsidR="0035616E">
        <w:rPr>
          <w:lang w:val="en-GB"/>
        </w:rPr>
        <w:t xml:space="preserve"> for the report’s advocacy in 2015.</w:t>
      </w:r>
    </w:p>
    <w:p w:rsidR="00B621B8" w:rsidRPr="00AF5902" w:rsidRDefault="00B621B8" w:rsidP="00261B0C">
      <w:pPr>
        <w:tabs>
          <w:tab w:val="num" w:pos="440"/>
        </w:tabs>
        <w:ind w:hanging="440"/>
        <w:rPr>
          <w:lang w:val="en-GB"/>
        </w:rPr>
      </w:pPr>
    </w:p>
    <w:p w:rsidR="0035616E" w:rsidRDefault="0035616E">
      <w:pPr>
        <w:spacing w:after="200" w:line="276" w:lineRule="auto"/>
        <w:jc w:val="left"/>
        <w:rPr>
          <w:rFonts w:asciiTheme="majorHAnsi" w:eastAsiaTheme="majorEastAsia" w:hAnsiTheme="majorHAnsi" w:cstheme="majorBidi"/>
          <w:b/>
          <w:bCs/>
          <w:color w:val="66CCFF"/>
          <w:sz w:val="28"/>
          <w:szCs w:val="28"/>
        </w:rPr>
      </w:pPr>
      <w:bookmarkStart w:id="34" w:name="_Toc154209178"/>
      <w:bookmarkStart w:id="35" w:name="_Toc178587127"/>
      <w:bookmarkStart w:id="36" w:name="_Toc178675687"/>
      <w:bookmarkStart w:id="37" w:name="_Toc216068341"/>
      <w:r>
        <w:rPr>
          <w:color w:val="66CCFF"/>
          <w:sz w:val="28"/>
          <w:szCs w:val="28"/>
        </w:rPr>
        <w:br w:type="page"/>
      </w:r>
    </w:p>
    <w:p w:rsidR="00261B0C" w:rsidRPr="00C1303E" w:rsidRDefault="00261B0C" w:rsidP="001F48A7">
      <w:pPr>
        <w:pStyle w:val="Heading2"/>
        <w:rPr>
          <w:color w:val="66CCFF"/>
          <w:sz w:val="28"/>
          <w:szCs w:val="28"/>
        </w:rPr>
      </w:pPr>
      <w:r w:rsidRPr="00C1303E">
        <w:rPr>
          <w:color w:val="66CCFF"/>
          <w:sz w:val="28"/>
          <w:szCs w:val="28"/>
        </w:rPr>
        <w:lastRenderedPageBreak/>
        <w:t>Implementation strategy review</w:t>
      </w:r>
      <w:bookmarkEnd w:id="34"/>
      <w:bookmarkEnd w:id="35"/>
      <w:bookmarkEnd w:id="36"/>
      <w:bookmarkEnd w:id="37"/>
      <w:r w:rsidRPr="00C1303E">
        <w:rPr>
          <w:color w:val="66CCFF"/>
          <w:sz w:val="28"/>
          <w:szCs w:val="28"/>
        </w:rPr>
        <w:t xml:space="preserve"> </w:t>
      </w:r>
    </w:p>
    <w:p w:rsidR="00261B0C" w:rsidRPr="00AF5902" w:rsidRDefault="00261B0C" w:rsidP="00261B0C">
      <w:pPr>
        <w:tabs>
          <w:tab w:val="num" w:pos="440"/>
        </w:tabs>
        <w:ind w:hanging="440"/>
        <w:rPr>
          <w:color w:val="00CCFF"/>
          <w:lang w:val="en-GB"/>
        </w:rPr>
      </w:pPr>
    </w:p>
    <w:p w:rsidR="00261B0C" w:rsidRPr="00C1303E" w:rsidRDefault="00261B0C" w:rsidP="00F90115">
      <w:pPr>
        <w:pStyle w:val="Heading3"/>
        <w:numPr>
          <w:ilvl w:val="0"/>
          <w:numId w:val="20"/>
        </w:numPr>
        <w:rPr>
          <w:rStyle w:val="IntenseReference"/>
          <w:b/>
          <w:bCs/>
          <w:smallCaps w:val="0"/>
          <w:color w:val="66CCFF"/>
          <w:spacing w:val="0"/>
          <w:sz w:val="24"/>
          <w:u w:val="none"/>
        </w:rPr>
      </w:pPr>
      <w:bookmarkStart w:id="38" w:name="_Toc154140536"/>
      <w:bookmarkStart w:id="39" w:name="_Toc154140591"/>
      <w:bookmarkStart w:id="40" w:name="_Toc154209179"/>
      <w:bookmarkStart w:id="41" w:name="_Toc178587128"/>
      <w:bookmarkStart w:id="42" w:name="_Toc178675688"/>
      <w:bookmarkStart w:id="43" w:name="_Toc216068342"/>
      <w:r w:rsidRPr="00C1303E">
        <w:rPr>
          <w:rStyle w:val="IntenseReference"/>
          <w:b/>
          <w:bCs/>
          <w:smallCaps w:val="0"/>
          <w:color w:val="66CCFF"/>
          <w:spacing w:val="0"/>
          <w:sz w:val="24"/>
          <w:u w:val="none"/>
        </w:rPr>
        <w:t>Participatory/consultative processes</w:t>
      </w:r>
      <w:bookmarkEnd w:id="38"/>
      <w:bookmarkEnd w:id="39"/>
      <w:bookmarkEnd w:id="40"/>
      <w:bookmarkEnd w:id="41"/>
      <w:bookmarkEnd w:id="42"/>
      <w:bookmarkEnd w:id="43"/>
    </w:p>
    <w:p w:rsidR="00BD11BD" w:rsidRPr="00BD11BD" w:rsidRDefault="00BD11BD" w:rsidP="00BD11BD"/>
    <w:p w:rsidR="00261B0C" w:rsidRDefault="0035616E" w:rsidP="009F3B4B">
      <w:pPr>
        <w:tabs>
          <w:tab w:val="left" w:pos="440"/>
        </w:tabs>
        <w:ind w:left="360"/>
        <w:rPr>
          <w:lang w:val="en-GB"/>
        </w:rPr>
      </w:pPr>
      <w:r>
        <w:rPr>
          <w:lang w:val="en-GB"/>
        </w:rPr>
        <w:t xml:space="preserve">The report itself is a testimony of an elaborate participatory and consultative process that permeated project’s activities since its inception. </w:t>
      </w:r>
      <w:r w:rsidR="009F3B4B">
        <w:rPr>
          <w:lang w:val="en-GB"/>
        </w:rPr>
        <w:t>This is clearly reflected in</w:t>
      </w:r>
      <w:r>
        <w:rPr>
          <w:lang w:val="en-GB"/>
        </w:rPr>
        <w:t xml:space="preserve"> the number of direct youth quotations and vision statements embedded in the text of the report. The consultative process was implemented by the project at many levels that include all stakeholders.</w:t>
      </w:r>
    </w:p>
    <w:p w:rsidR="0035616E" w:rsidRDefault="0035616E" w:rsidP="0035616E">
      <w:pPr>
        <w:tabs>
          <w:tab w:val="left" w:pos="440"/>
        </w:tabs>
        <w:ind w:left="360"/>
        <w:rPr>
          <w:lang w:val="en-GB"/>
        </w:rPr>
      </w:pPr>
    </w:p>
    <w:p w:rsidR="0035616E" w:rsidRPr="00AF5902" w:rsidRDefault="0035616E" w:rsidP="002C2E8A">
      <w:pPr>
        <w:tabs>
          <w:tab w:val="left" w:pos="440"/>
        </w:tabs>
        <w:ind w:left="360"/>
        <w:rPr>
          <w:lang w:val="en-GB"/>
        </w:rPr>
      </w:pPr>
      <w:r>
        <w:rPr>
          <w:lang w:val="en-GB"/>
        </w:rPr>
        <w:t>This approach was carried on in the production phase of the report in 2014. After ensuring the quality of the report through successive review and consultations, the design and layout of the report was done in full consultation with the stakeholders including the youth, who contributed the photo that was used in the cover of the report.</w:t>
      </w:r>
    </w:p>
    <w:p w:rsidR="00261B0C" w:rsidRPr="00AF5902" w:rsidRDefault="00261B0C" w:rsidP="00261B0C">
      <w:pPr>
        <w:tabs>
          <w:tab w:val="left" w:pos="440"/>
        </w:tabs>
        <w:ind w:left="440" w:hanging="440"/>
        <w:rPr>
          <w:lang w:val="en-GB"/>
        </w:rPr>
      </w:pPr>
    </w:p>
    <w:p w:rsidR="00261B0C" w:rsidRPr="00C1303E" w:rsidRDefault="00261B0C" w:rsidP="00F90115">
      <w:pPr>
        <w:pStyle w:val="Heading3"/>
        <w:numPr>
          <w:ilvl w:val="0"/>
          <w:numId w:val="20"/>
        </w:numPr>
        <w:rPr>
          <w:color w:val="66CCFF"/>
          <w:sz w:val="24"/>
        </w:rPr>
      </w:pPr>
      <w:bookmarkStart w:id="44" w:name="_Toc178675689"/>
      <w:bookmarkStart w:id="45" w:name="_Toc154140537"/>
      <w:bookmarkStart w:id="46" w:name="_Toc154140592"/>
      <w:bookmarkStart w:id="47" w:name="_Toc154209180"/>
      <w:bookmarkStart w:id="48" w:name="_Toc178587129"/>
      <w:bookmarkStart w:id="49" w:name="_Toc216068343"/>
      <w:r w:rsidRPr="00C1303E">
        <w:rPr>
          <w:color w:val="66CCFF"/>
          <w:sz w:val="24"/>
        </w:rPr>
        <w:t>Quality of partnerships</w:t>
      </w:r>
      <w:bookmarkEnd w:id="44"/>
      <w:bookmarkEnd w:id="45"/>
      <w:bookmarkEnd w:id="46"/>
      <w:bookmarkEnd w:id="47"/>
      <w:bookmarkEnd w:id="48"/>
      <w:bookmarkEnd w:id="49"/>
    </w:p>
    <w:p w:rsidR="00DB5B20" w:rsidRPr="00DB5B20" w:rsidRDefault="00DB5B20" w:rsidP="00DB5B20">
      <w:pPr>
        <w:rPr>
          <w:lang w:val="en-GB"/>
        </w:rPr>
      </w:pPr>
    </w:p>
    <w:p w:rsidR="00261B0C" w:rsidRDefault="006F6C3E" w:rsidP="006F6C3E">
      <w:pPr>
        <w:tabs>
          <w:tab w:val="left" w:pos="440"/>
        </w:tabs>
        <w:ind w:left="360"/>
        <w:rPr>
          <w:lang w:val="en-GB"/>
        </w:rPr>
      </w:pPr>
      <w:r>
        <w:rPr>
          <w:lang w:val="en-GB"/>
        </w:rPr>
        <w:t>The partnership with the government, represented by the Federal Ministry of Planning and the Kurdistan Regional Office was instrumental in achieving results in 2014. The access to national statistics needed for the report analysis and the presence on the ground in all governorates was the main advantage of the government partner. Government partners also leveraged their connections with youth networks to contribute to the project, opening yet another opportunity of partnership with UNDP. Country knowledge offered by these partners completed UNDP knowledge in the NHDR methodology to achieve optimal results and take the project to final completion.</w:t>
      </w:r>
    </w:p>
    <w:p w:rsidR="006F6C3E" w:rsidRDefault="006F6C3E" w:rsidP="006F6C3E">
      <w:pPr>
        <w:tabs>
          <w:tab w:val="left" w:pos="440"/>
        </w:tabs>
        <w:ind w:left="360"/>
        <w:rPr>
          <w:lang w:val="en-GB"/>
        </w:rPr>
      </w:pPr>
    </w:p>
    <w:p w:rsidR="006F6C3E" w:rsidRDefault="00E66584" w:rsidP="006F6C3E">
      <w:pPr>
        <w:tabs>
          <w:tab w:val="left" w:pos="440"/>
        </w:tabs>
        <w:ind w:left="360"/>
        <w:rPr>
          <w:lang w:val="en-GB"/>
        </w:rPr>
      </w:pPr>
      <w:r>
        <w:rPr>
          <w:lang w:val="en-GB"/>
        </w:rPr>
        <w:t>Complementarity was also achieved through partnerships with UN Agencies. Owing to the youth portfolio that UNFPA manages, its knowledge inputs, and linkages with youth networks were beneficial to the project.</w:t>
      </w:r>
    </w:p>
    <w:p w:rsidR="00E66584" w:rsidRDefault="00E66584" w:rsidP="006F6C3E">
      <w:pPr>
        <w:tabs>
          <w:tab w:val="left" w:pos="440"/>
        </w:tabs>
        <w:ind w:left="360"/>
        <w:rPr>
          <w:lang w:val="en-GB"/>
        </w:rPr>
      </w:pPr>
    </w:p>
    <w:p w:rsidR="00E66584" w:rsidRPr="00AF5902" w:rsidRDefault="00E66584" w:rsidP="00E66584">
      <w:pPr>
        <w:tabs>
          <w:tab w:val="left" w:pos="440"/>
        </w:tabs>
        <w:ind w:left="360"/>
        <w:rPr>
          <w:lang w:val="en-GB"/>
        </w:rPr>
      </w:pPr>
      <w:r>
        <w:rPr>
          <w:lang w:val="en-GB"/>
        </w:rPr>
        <w:t xml:space="preserve">Partnership with responsible partners, such as the </w:t>
      </w:r>
      <w:proofErr w:type="spellStart"/>
      <w:r>
        <w:rPr>
          <w:lang w:val="en-GB"/>
        </w:rPr>
        <w:t>Grafica</w:t>
      </w:r>
      <w:proofErr w:type="spellEnd"/>
      <w:r>
        <w:rPr>
          <w:lang w:val="en-GB"/>
        </w:rPr>
        <w:t xml:space="preserve"> design and printing service in Amman contributed the possible completion of the project. </w:t>
      </w:r>
      <w:proofErr w:type="spellStart"/>
      <w:r>
        <w:rPr>
          <w:lang w:val="en-GB"/>
        </w:rPr>
        <w:t>Grafica</w:t>
      </w:r>
      <w:proofErr w:type="spellEnd"/>
      <w:r>
        <w:rPr>
          <w:lang w:val="en-GB"/>
        </w:rPr>
        <w:t xml:space="preserve"> has been providing consultancy services to UNDP Iraq for the period 2004-2014 and good trust was built between UNDP and this service provider. Their flexibility and responsiveness was </w:t>
      </w:r>
      <w:proofErr w:type="gramStart"/>
      <w:r>
        <w:rPr>
          <w:lang w:val="en-GB"/>
        </w:rPr>
        <w:t>key</w:t>
      </w:r>
      <w:proofErr w:type="gramEnd"/>
      <w:r>
        <w:rPr>
          <w:lang w:val="en-GB"/>
        </w:rPr>
        <w:t xml:space="preserve"> to completing the activities that led to the successful launch of the NHDR in December 2014.</w:t>
      </w:r>
    </w:p>
    <w:p w:rsidR="00261B0C" w:rsidRPr="00AF5902" w:rsidRDefault="00261B0C" w:rsidP="00261B0C">
      <w:pPr>
        <w:tabs>
          <w:tab w:val="left" w:pos="440"/>
        </w:tabs>
        <w:ind w:left="440" w:hanging="440"/>
        <w:rPr>
          <w:lang w:val="en-GB"/>
        </w:rPr>
      </w:pPr>
    </w:p>
    <w:p w:rsidR="00261B0C" w:rsidRPr="00C1303E" w:rsidRDefault="00261B0C" w:rsidP="00991239">
      <w:pPr>
        <w:pStyle w:val="Heading3"/>
        <w:numPr>
          <w:ilvl w:val="0"/>
          <w:numId w:val="20"/>
        </w:numPr>
        <w:rPr>
          <w:color w:val="66CCFF"/>
          <w:sz w:val="24"/>
        </w:rPr>
      </w:pPr>
      <w:bookmarkStart w:id="50" w:name="_Toc154140538"/>
      <w:bookmarkStart w:id="51" w:name="_Toc154140593"/>
      <w:bookmarkStart w:id="52" w:name="_Toc154209181"/>
      <w:bookmarkStart w:id="53" w:name="_Toc178587130"/>
      <w:bookmarkStart w:id="54" w:name="_Toc178675690"/>
      <w:bookmarkStart w:id="55" w:name="_Toc216068344"/>
      <w:r w:rsidRPr="00C1303E">
        <w:rPr>
          <w:color w:val="66CCFF"/>
          <w:sz w:val="24"/>
        </w:rPr>
        <w:t>National ownership</w:t>
      </w:r>
      <w:bookmarkEnd w:id="50"/>
      <w:bookmarkEnd w:id="51"/>
      <w:bookmarkEnd w:id="52"/>
      <w:bookmarkEnd w:id="53"/>
      <w:bookmarkEnd w:id="54"/>
      <w:bookmarkEnd w:id="55"/>
    </w:p>
    <w:p w:rsidR="00D55A23" w:rsidRPr="00D55A23" w:rsidRDefault="00D55A23" w:rsidP="00D55A23"/>
    <w:p w:rsidR="00261B0C" w:rsidRDefault="00E66584" w:rsidP="00E66584">
      <w:pPr>
        <w:tabs>
          <w:tab w:val="left" w:pos="440"/>
        </w:tabs>
        <w:ind w:left="360"/>
        <w:rPr>
          <w:lang w:val="en-GB"/>
        </w:rPr>
      </w:pPr>
      <w:r>
        <w:rPr>
          <w:lang w:val="en-GB"/>
        </w:rPr>
        <w:t>The UNDP Corporate policy on NHDRs mandate</w:t>
      </w:r>
      <w:r w:rsidR="00BF4C55">
        <w:rPr>
          <w:lang w:val="en-GB"/>
        </w:rPr>
        <w:t>s</w:t>
      </w:r>
      <w:r>
        <w:rPr>
          <w:lang w:val="en-GB"/>
        </w:rPr>
        <w:t xml:space="preserve"> the necessi</w:t>
      </w:r>
      <w:r w:rsidR="00BF4C55">
        <w:rPr>
          <w:lang w:val="en-GB"/>
        </w:rPr>
        <w:t>ty of national ownership, as the foremost quality criteria. The project maintained the level of national ownership that was nurtured throughout the life of the project. Having completely contributed to the formulation of the report in its analytical and data content, the national partners also led the positioning of the report’s launch and visibility.</w:t>
      </w:r>
    </w:p>
    <w:p w:rsidR="00BF4C55" w:rsidRDefault="00BF4C55" w:rsidP="00E66584">
      <w:pPr>
        <w:tabs>
          <w:tab w:val="left" w:pos="440"/>
        </w:tabs>
        <w:ind w:left="360"/>
        <w:rPr>
          <w:lang w:val="en-GB"/>
        </w:rPr>
      </w:pPr>
    </w:p>
    <w:p w:rsidR="00BF4C55" w:rsidRPr="00AF5902" w:rsidRDefault="00BF4C55" w:rsidP="00E66584">
      <w:pPr>
        <w:tabs>
          <w:tab w:val="left" w:pos="440"/>
        </w:tabs>
        <w:ind w:left="360"/>
        <w:rPr>
          <w:lang w:val="en-GB"/>
        </w:rPr>
      </w:pPr>
      <w:r>
        <w:rPr>
          <w:lang w:val="en-GB"/>
        </w:rPr>
        <w:t xml:space="preserve">The report’s launch event was endorsement by the highest national executive, the Prime Minister. In his keynote speech he expressed his full endorsement of the report findings and called upon participating Ministry representatives to put </w:t>
      </w:r>
      <w:r w:rsidR="0077623F">
        <w:rPr>
          <w:lang w:val="en-GB"/>
        </w:rPr>
        <w:t>the findings in action. Youth participating in the launch event also pledged the same, showing strong ownership of the report.</w:t>
      </w:r>
    </w:p>
    <w:p w:rsidR="00261B0C" w:rsidRPr="00AF5902" w:rsidRDefault="00261B0C" w:rsidP="00261B0C">
      <w:pPr>
        <w:tabs>
          <w:tab w:val="left" w:pos="440"/>
        </w:tabs>
        <w:ind w:left="440" w:hanging="440"/>
        <w:rPr>
          <w:lang w:val="en-GB"/>
        </w:rPr>
      </w:pPr>
    </w:p>
    <w:p w:rsidR="00261B0C" w:rsidRPr="00C1303E" w:rsidRDefault="00261B0C" w:rsidP="00991239">
      <w:pPr>
        <w:pStyle w:val="Heading3"/>
        <w:numPr>
          <w:ilvl w:val="0"/>
          <w:numId w:val="20"/>
        </w:numPr>
        <w:rPr>
          <w:color w:val="66CCFF"/>
          <w:sz w:val="24"/>
        </w:rPr>
      </w:pPr>
      <w:bookmarkStart w:id="56" w:name="_Toc154140539"/>
      <w:bookmarkStart w:id="57" w:name="_Toc154140594"/>
      <w:bookmarkStart w:id="58" w:name="_Toc154209182"/>
      <w:bookmarkStart w:id="59" w:name="_Toc178587131"/>
      <w:bookmarkStart w:id="60" w:name="_Toc178675691"/>
      <w:bookmarkStart w:id="61" w:name="_Toc216068345"/>
      <w:r w:rsidRPr="00C1303E">
        <w:rPr>
          <w:rStyle w:val="Heading3Char"/>
          <w:b/>
          <w:bCs/>
          <w:color w:val="66CCFF"/>
          <w:sz w:val="24"/>
        </w:rPr>
        <w:lastRenderedPageBreak/>
        <w:t>Sustainability</w:t>
      </w:r>
      <w:bookmarkEnd w:id="56"/>
      <w:bookmarkEnd w:id="57"/>
      <w:bookmarkEnd w:id="58"/>
      <w:bookmarkEnd w:id="59"/>
      <w:bookmarkEnd w:id="60"/>
      <w:bookmarkEnd w:id="61"/>
      <w:r w:rsidRPr="00C1303E">
        <w:rPr>
          <w:color w:val="66CCFF"/>
          <w:sz w:val="24"/>
        </w:rPr>
        <w:t xml:space="preserve"> </w:t>
      </w:r>
    </w:p>
    <w:p w:rsidR="00D870DD" w:rsidRPr="00D870DD" w:rsidRDefault="00D870DD" w:rsidP="00D870DD">
      <w:pPr>
        <w:pStyle w:val="ListParagraph"/>
        <w:tabs>
          <w:tab w:val="left" w:pos="440"/>
        </w:tabs>
        <w:rPr>
          <w:lang w:val="en-GB"/>
        </w:rPr>
      </w:pPr>
    </w:p>
    <w:p w:rsidR="0077623F" w:rsidRPr="00AF5902" w:rsidRDefault="0077623F" w:rsidP="000D3DA4">
      <w:pPr>
        <w:tabs>
          <w:tab w:val="left" w:pos="440"/>
        </w:tabs>
        <w:ind w:left="360"/>
        <w:rPr>
          <w:lang w:val="en-GB"/>
        </w:rPr>
      </w:pPr>
      <w:r>
        <w:rPr>
          <w:lang w:val="en-GB"/>
        </w:rPr>
        <w:t>The year 2014 focused on the production and launch of the NHDR. This concludes the bulk of the project’s activities and hands over the tool to the government for their own action. Capacity building activities that preceded the launch and enabled it remain with the partner government institutions and it is expected that this will enable the national counterpart to engage in future NHDR exercises.</w:t>
      </w:r>
    </w:p>
    <w:p w:rsidR="00261B0C" w:rsidRPr="00AF5902" w:rsidRDefault="00261B0C" w:rsidP="00D870DD">
      <w:pPr>
        <w:tabs>
          <w:tab w:val="num" w:pos="440"/>
        </w:tabs>
        <w:rPr>
          <w:color w:val="000080"/>
          <w:lang w:val="en-GB"/>
        </w:rPr>
      </w:pPr>
      <w:bookmarkStart w:id="62" w:name="_Toc154209183"/>
      <w:bookmarkStart w:id="63" w:name="_Toc178587132"/>
    </w:p>
    <w:p w:rsidR="00261B0C" w:rsidRPr="00C1303E" w:rsidRDefault="00261B0C" w:rsidP="00D870DD">
      <w:pPr>
        <w:pStyle w:val="Heading2"/>
        <w:rPr>
          <w:color w:val="66CCFF"/>
          <w:sz w:val="28"/>
          <w:szCs w:val="28"/>
        </w:rPr>
      </w:pPr>
      <w:bookmarkStart w:id="64" w:name="_Toc178675692"/>
      <w:bookmarkStart w:id="65" w:name="_Toc216068346"/>
      <w:r w:rsidRPr="00C1303E">
        <w:rPr>
          <w:color w:val="66CCFF"/>
          <w:sz w:val="28"/>
          <w:szCs w:val="28"/>
        </w:rPr>
        <w:t>Management effectiveness review</w:t>
      </w:r>
      <w:bookmarkEnd w:id="62"/>
      <w:bookmarkEnd w:id="63"/>
      <w:bookmarkEnd w:id="64"/>
      <w:bookmarkEnd w:id="65"/>
      <w:r w:rsidRPr="00C1303E">
        <w:rPr>
          <w:color w:val="66CCFF"/>
          <w:sz w:val="28"/>
          <w:szCs w:val="28"/>
        </w:rPr>
        <w:t xml:space="preserve"> </w:t>
      </w:r>
    </w:p>
    <w:p w:rsidR="00261B0C" w:rsidRPr="00AF5902" w:rsidRDefault="00261B0C" w:rsidP="00261B0C">
      <w:pPr>
        <w:tabs>
          <w:tab w:val="num" w:pos="440"/>
        </w:tabs>
        <w:ind w:hanging="440"/>
        <w:rPr>
          <w:lang w:val="en-GB"/>
        </w:rPr>
      </w:pPr>
    </w:p>
    <w:p w:rsidR="00261B0C" w:rsidRPr="00B7758D" w:rsidRDefault="00261B0C" w:rsidP="00D870DD">
      <w:pPr>
        <w:pStyle w:val="Heading3"/>
        <w:numPr>
          <w:ilvl w:val="0"/>
          <w:numId w:val="16"/>
        </w:numPr>
        <w:rPr>
          <w:color w:val="66CCFF"/>
          <w:sz w:val="24"/>
        </w:rPr>
      </w:pPr>
      <w:bookmarkStart w:id="66" w:name="_Toc154140540"/>
      <w:bookmarkStart w:id="67" w:name="_Toc154140595"/>
      <w:bookmarkStart w:id="68" w:name="_Toc154209184"/>
      <w:bookmarkStart w:id="69" w:name="_Toc178587133"/>
      <w:bookmarkStart w:id="70" w:name="_Toc178675693"/>
      <w:bookmarkStart w:id="71" w:name="_Toc216068347"/>
      <w:r w:rsidRPr="00B7758D">
        <w:rPr>
          <w:color w:val="66CCFF"/>
          <w:sz w:val="24"/>
        </w:rPr>
        <w:t>Quality of monitoring</w:t>
      </w:r>
      <w:bookmarkEnd w:id="66"/>
      <w:bookmarkEnd w:id="67"/>
      <w:bookmarkEnd w:id="68"/>
      <w:bookmarkEnd w:id="69"/>
      <w:bookmarkEnd w:id="70"/>
      <w:bookmarkEnd w:id="71"/>
    </w:p>
    <w:p w:rsidR="00D870DD" w:rsidRPr="00D870DD" w:rsidRDefault="00D870DD" w:rsidP="00D870DD">
      <w:pPr>
        <w:pStyle w:val="ListParagraph"/>
        <w:tabs>
          <w:tab w:val="num" w:pos="440"/>
        </w:tabs>
        <w:rPr>
          <w:lang w:val="en-GB"/>
        </w:rPr>
      </w:pPr>
    </w:p>
    <w:p w:rsidR="00261B0C" w:rsidRDefault="000D3DA4" w:rsidP="000D3DA4">
      <w:pPr>
        <w:tabs>
          <w:tab w:val="num" w:pos="440"/>
        </w:tabs>
        <w:ind w:left="360"/>
        <w:rPr>
          <w:lang w:val="en-GB"/>
        </w:rPr>
      </w:pPr>
      <w:r>
        <w:rPr>
          <w:lang w:val="en-GB"/>
        </w:rPr>
        <w:t>Project activity monitoring enabled the completion of the planned activities and the launch of the NHDR in 2014. The actual production of the report in terms of design and production was closely monitored by the project manager in order to ensure that the highest quality of presentation is achieved.</w:t>
      </w:r>
    </w:p>
    <w:p w:rsidR="000D3DA4" w:rsidRDefault="000D3DA4" w:rsidP="000D3DA4">
      <w:pPr>
        <w:tabs>
          <w:tab w:val="num" w:pos="440"/>
        </w:tabs>
        <w:ind w:left="360"/>
        <w:rPr>
          <w:lang w:val="en-GB"/>
        </w:rPr>
      </w:pPr>
    </w:p>
    <w:p w:rsidR="000D3DA4" w:rsidRPr="00AF5902" w:rsidRDefault="000D3DA4" w:rsidP="000D3DA4">
      <w:pPr>
        <w:tabs>
          <w:tab w:val="num" w:pos="440"/>
        </w:tabs>
        <w:ind w:left="360"/>
        <w:rPr>
          <w:lang w:val="en-GB"/>
        </w:rPr>
      </w:pPr>
      <w:r>
        <w:rPr>
          <w:lang w:val="en-GB"/>
        </w:rPr>
        <w:t>The same level of follow up and monitoring was applied with the national counterparts to ensure the optimal visibility of the report through the launch of the project. Key national counterparts were identified for invitation to the launch of event, in addition to participants from the international community, the media, the academia, and the civil society.</w:t>
      </w:r>
    </w:p>
    <w:p w:rsidR="00261B0C" w:rsidRPr="00AF5902" w:rsidRDefault="00261B0C" w:rsidP="00261B0C">
      <w:pPr>
        <w:tabs>
          <w:tab w:val="num" w:pos="440"/>
        </w:tabs>
        <w:rPr>
          <w:lang w:val="en-GB"/>
        </w:rPr>
      </w:pPr>
    </w:p>
    <w:p w:rsidR="00261B0C" w:rsidRPr="00B7758D" w:rsidRDefault="00261B0C" w:rsidP="00D870DD">
      <w:pPr>
        <w:pStyle w:val="Heading3"/>
        <w:numPr>
          <w:ilvl w:val="0"/>
          <w:numId w:val="16"/>
        </w:numPr>
        <w:rPr>
          <w:color w:val="66CCFF"/>
          <w:sz w:val="24"/>
        </w:rPr>
      </w:pPr>
      <w:bookmarkStart w:id="72" w:name="_Toc154140541"/>
      <w:bookmarkStart w:id="73" w:name="_Toc154140596"/>
      <w:bookmarkStart w:id="74" w:name="_Toc154209185"/>
      <w:bookmarkStart w:id="75" w:name="_Toc178587134"/>
      <w:bookmarkStart w:id="76" w:name="_Toc178675694"/>
      <w:bookmarkStart w:id="77" w:name="_Toc216068348"/>
      <w:r w:rsidRPr="00B7758D">
        <w:rPr>
          <w:color w:val="66CCFF"/>
          <w:sz w:val="24"/>
        </w:rPr>
        <w:t>Timely delivery of outputs</w:t>
      </w:r>
      <w:bookmarkEnd w:id="72"/>
      <w:bookmarkEnd w:id="73"/>
      <w:bookmarkEnd w:id="74"/>
      <w:bookmarkEnd w:id="75"/>
      <w:bookmarkEnd w:id="76"/>
      <w:bookmarkEnd w:id="77"/>
    </w:p>
    <w:p w:rsidR="00D870DD" w:rsidRPr="00D870DD" w:rsidRDefault="00D870DD" w:rsidP="00D870DD"/>
    <w:p w:rsidR="00261B0C" w:rsidRDefault="000D3DA4" w:rsidP="00F049EF">
      <w:pPr>
        <w:tabs>
          <w:tab w:val="num" w:pos="440"/>
        </w:tabs>
        <w:ind w:left="360"/>
        <w:rPr>
          <w:lang w:val="en-GB"/>
        </w:rPr>
      </w:pPr>
      <w:r>
        <w:rPr>
          <w:lang w:val="en-GB"/>
        </w:rPr>
        <w:t>The main outputs in the AWP were implemented. These include the launch of the NHDR and the production of its Communication Strategy. Both were implemented, excluding the training planned under the Communication Strategy. This was not implemented due to the outbreak of violence in the west parts of the country and the preoccupation of national efforts with the consequences.</w:t>
      </w:r>
      <w:r w:rsidR="00F049EF">
        <w:rPr>
          <w:lang w:val="en-GB"/>
        </w:rPr>
        <w:t xml:space="preserve"> This training was rescheduled to the year 2015, and consultations with national counterparts indicate that they will cover this training.</w:t>
      </w:r>
    </w:p>
    <w:p w:rsidR="00D870DD" w:rsidRPr="00AF5902" w:rsidRDefault="00D870DD" w:rsidP="00D870DD">
      <w:pPr>
        <w:tabs>
          <w:tab w:val="num" w:pos="440"/>
        </w:tabs>
        <w:ind w:left="440" w:hanging="440"/>
        <w:rPr>
          <w:lang w:val="en-GB"/>
        </w:rPr>
      </w:pPr>
    </w:p>
    <w:p w:rsidR="00261B0C" w:rsidRPr="00B7758D" w:rsidRDefault="00261B0C" w:rsidP="00D870DD">
      <w:pPr>
        <w:pStyle w:val="Heading3"/>
        <w:numPr>
          <w:ilvl w:val="0"/>
          <w:numId w:val="16"/>
        </w:numPr>
        <w:rPr>
          <w:color w:val="66CCFF"/>
          <w:sz w:val="24"/>
        </w:rPr>
      </w:pPr>
      <w:bookmarkStart w:id="78" w:name="_Toc154140542"/>
      <w:bookmarkStart w:id="79" w:name="_Toc154140597"/>
      <w:bookmarkStart w:id="80" w:name="_Toc154209186"/>
      <w:bookmarkStart w:id="81" w:name="_Toc178587135"/>
      <w:bookmarkStart w:id="82" w:name="_Toc178675695"/>
      <w:bookmarkStart w:id="83" w:name="_Toc216068349"/>
      <w:r w:rsidRPr="00B7758D">
        <w:rPr>
          <w:color w:val="66CCFF"/>
          <w:sz w:val="24"/>
        </w:rPr>
        <w:t>Resources allocation</w:t>
      </w:r>
      <w:bookmarkEnd w:id="78"/>
      <w:bookmarkEnd w:id="79"/>
      <w:bookmarkEnd w:id="80"/>
      <w:bookmarkEnd w:id="81"/>
      <w:bookmarkEnd w:id="82"/>
      <w:bookmarkEnd w:id="83"/>
    </w:p>
    <w:p w:rsidR="00D870DD" w:rsidRPr="00D870DD" w:rsidRDefault="00D870DD" w:rsidP="00D870DD">
      <w:pPr>
        <w:pStyle w:val="ListParagraph"/>
        <w:ind w:left="360"/>
        <w:rPr>
          <w:rFonts w:eastAsiaTheme="majorEastAsia"/>
        </w:rPr>
      </w:pPr>
    </w:p>
    <w:p w:rsidR="00261B0C" w:rsidRDefault="00F049EF" w:rsidP="005C3AFB">
      <w:pPr>
        <w:tabs>
          <w:tab w:val="num" w:pos="440"/>
        </w:tabs>
        <w:ind w:left="360"/>
        <w:rPr>
          <w:lang w:val="en-GB"/>
        </w:rPr>
      </w:pPr>
      <w:r>
        <w:rPr>
          <w:lang w:val="en-GB"/>
        </w:rPr>
        <w:t xml:space="preserve">Administrative, running, and staff costs were </w:t>
      </w:r>
      <w:r w:rsidR="005C3AFB">
        <w:rPr>
          <w:lang w:val="en-GB"/>
        </w:rPr>
        <w:t>reasonable</w:t>
      </w:r>
      <w:r>
        <w:rPr>
          <w:lang w:val="en-GB"/>
        </w:rPr>
        <w:t xml:space="preserve"> in 2014, and the ratio of project costs</w:t>
      </w:r>
      <w:r w:rsidR="005C3AFB">
        <w:rPr>
          <w:lang w:val="en-GB"/>
        </w:rPr>
        <w:t xml:space="preserve"> to operational costs</w:t>
      </w:r>
      <w:r>
        <w:rPr>
          <w:lang w:val="en-GB"/>
        </w:rPr>
        <w:t xml:space="preserve"> is 9</w:t>
      </w:r>
      <w:r w:rsidR="005C3AFB">
        <w:rPr>
          <w:lang w:val="en-GB"/>
        </w:rPr>
        <w:t>1</w:t>
      </w:r>
      <w:r>
        <w:rPr>
          <w:lang w:val="en-GB"/>
        </w:rPr>
        <w:t xml:space="preserve">% out of the total 2014 </w:t>
      </w:r>
      <w:r w:rsidR="005C3AFB">
        <w:rPr>
          <w:lang w:val="en-GB"/>
        </w:rPr>
        <w:t>expenditure of USD113</w:t>
      </w:r>
      <w:proofErr w:type="gramStart"/>
      <w:r w:rsidR="005C3AFB">
        <w:rPr>
          <w:lang w:val="en-GB"/>
        </w:rPr>
        <w:t>,050</w:t>
      </w:r>
      <w:proofErr w:type="gramEnd"/>
      <w:r>
        <w:rPr>
          <w:lang w:val="en-GB"/>
        </w:rPr>
        <w:t>.</w:t>
      </w:r>
      <w:r w:rsidR="00261B0C" w:rsidRPr="00AF5902">
        <w:rPr>
          <w:lang w:val="en-GB"/>
        </w:rPr>
        <w:t xml:space="preserve">  </w:t>
      </w:r>
    </w:p>
    <w:p w:rsidR="00D870DD" w:rsidRPr="00AF5902" w:rsidRDefault="00D870DD" w:rsidP="00D870DD">
      <w:pPr>
        <w:tabs>
          <w:tab w:val="num" w:pos="440"/>
        </w:tabs>
        <w:ind w:left="440" w:hanging="440"/>
        <w:rPr>
          <w:lang w:val="en-GB"/>
        </w:rPr>
      </w:pPr>
    </w:p>
    <w:p w:rsidR="00261B0C" w:rsidRPr="00B7758D" w:rsidRDefault="00261B0C" w:rsidP="00D870DD">
      <w:pPr>
        <w:pStyle w:val="Heading3"/>
        <w:numPr>
          <w:ilvl w:val="0"/>
          <w:numId w:val="16"/>
        </w:numPr>
        <w:rPr>
          <w:color w:val="66CCFF"/>
          <w:sz w:val="24"/>
        </w:rPr>
      </w:pPr>
      <w:bookmarkStart w:id="84" w:name="_Toc154140543"/>
      <w:bookmarkStart w:id="85" w:name="_Toc154140598"/>
      <w:bookmarkStart w:id="86" w:name="_Toc154209187"/>
      <w:bookmarkStart w:id="87" w:name="_Toc178587136"/>
      <w:bookmarkStart w:id="88" w:name="_Toc178675696"/>
      <w:bookmarkStart w:id="89" w:name="_Toc216068350"/>
      <w:r w:rsidRPr="00B7758D">
        <w:rPr>
          <w:color w:val="66CCFF"/>
          <w:sz w:val="24"/>
        </w:rPr>
        <w:t>Cost-effective use of inputs</w:t>
      </w:r>
      <w:bookmarkEnd w:id="84"/>
      <w:bookmarkEnd w:id="85"/>
      <w:bookmarkEnd w:id="86"/>
      <w:bookmarkEnd w:id="87"/>
      <w:bookmarkEnd w:id="88"/>
      <w:bookmarkEnd w:id="89"/>
    </w:p>
    <w:p w:rsidR="00D870DD" w:rsidRPr="00D870DD" w:rsidRDefault="00D870DD" w:rsidP="00D870DD">
      <w:pPr>
        <w:pStyle w:val="ListParagraph"/>
        <w:ind w:left="360"/>
      </w:pPr>
    </w:p>
    <w:p w:rsidR="00261B0C" w:rsidRDefault="009E26F8" w:rsidP="009E26F8">
      <w:pPr>
        <w:tabs>
          <w:tab w:val="num" w:pos="440"/>
        </w:tabs>
        <w:ind w:left="360"/>
        <w:rPr>
          <w:lang w:val="en-GB"/>
        </w:rPr>
      </w:pPr>
      <w:r>
        <w:rPr>
          <w:lang w:val="en-GB"/>
        </w:rPr>
        <w:t>Owing to the very specific nature of the final activities expenditures</w:t>
      </w:r>
      <w:r w:rsidR="00261B0C" w:rsidRPr="00AF5902">
        <w:rPr>
          <w:lang w:val="en-GB"/>
        </w:rPr>
        <w:t xml:space="preserve"> </w:t>
      </w:r>
      <w:r>
        <w:rPr>
          <w:lang w:val="en-GB"/>
        </w:rPr>
        <w:t>were focused towards the production of the report and the launch event. In that sense, optimal usage of funds was exercised and all expenditures resulted from the strict application of UNDP procurement procedures that ensured best value for money.</w:t>
      </w:r>
    </w:p>
    <w:p w:rsidR="009E26F8" w:rsidRDefault="009E26F8" w:rsidP="009E26F8">
      <w:pPr>
        <w:tabs>
          <w:tab w:val="num" w:pos="440"/>
        </w:tabs>
        <w:ind w:left="360"/>
        <w:rPr>
          <w:lang w:val="en-GB"/>
        </w:rPr>
      </w:pPr>
    </w:p>
    <w:p w:rsidR="009E26F8" w:rsidRPr="00AF5902" w:rsidRDefault="009E26F8" w:rsidP="007C7FB3">
      <w:pPr>
        <w:tabs>
          <w:tab w:val="num" w:pos="440"/>
        </w:tabs>
        <w:ind w:left="360"/>
        <w:rPr>
          <w:lang w:val="en-GB"/>
        </w:rPr>
      </w:pPr>
      <w:r>
        <w:rPr>
          <w:lang w:val="en-GB"/>
        </w:rPr>
        <w:t xml:space="preserve">In identifying the best service provider to print </w:t>
      </w:r>
      <w:r w:rsidR="007C7FB3">
        <w:rPr>
          <w:lang w:val="en-GB"/>
        </w:rPr>
        <w:t xml:space="preserve">the NHDR, it was found that that had an LTA with UNDP for the past 10 years was still the most cost effective. Additionally, local printing services in Iraq are still not up to the standard required, and for quality output as that required for the NHDR, local printing shops will use third party printers outside Iraq. This explains the high cost of printing services that were quoted by local providers, and the project had to resort </w:t>
      </w:r>
      <w:r w:rsidR="007C7FB3">
        <w:rPr>
          <w:lang w:val="en-GB"/>
        </w:rPr>
        <w:lastRenderedPageBreak/>
        <w:t>to a tried and tested services provider in Jordan which effectively delivered the required service within the time and cost tolerances.</w:t>
      </w:r>
    </w:p>
    <w:p w:rsidR="00261B0C" w:rsidRPr="00AF5902" w:rsidRDefault="00261B0C" w:rsidP="00D870DD">
      <w:pPr>
        <w:tabs>
          <w:tab w:val="num" w:pos="440"/>
        </w:tabs>
        <w:ind w:left="440"/>
        <w:rPr>
          <w:lang w:val="en-GB"/>
        </w:rPr>
      </w:pPr>
    </w:p>
    <w:p w:rsidR="00261B0C" w:rsidRPr="00B7758D" w:rsidRDefault="00261B0C" w:rsidP="00D870DD">
      <w:pPr>
        <w:pStyle w:val="Heading1"/>
        <w:rPr>
          <w:color w:val="66CCFF"/>
          <w:sz w:val="36"/>
          <w:szCs w:val="36"/>
          <w:lang w:val="en-GB"/>
        </w:rPr>
      </w:pPr>
      <w:bookmarkStart w:id="90" w:name="_Toc178675697"/>
      <w:bookmarkStart w:id="91" w:name="_Toc216068351"/>
      <w:r w:rsidRPr="00B7758D">
        <w:rPr>
          <w:color w:val="66CCFF"/>
          <w:sz w:val="36"/>
          <w:szCs w:val="36"/>
          <w:lang w:val="en-GB"/>
        </w:rPr>
        <w:t>III. Project results summary</w:t>
      </w:r>
      <w:bookmarkEnd w:id="90"/>
      <w:bookmarkEnd w:id="91"/>
      <w:r w:rsidRPr="00B7758D">
        <w:rPr>
          <w:color w:val="66CCFF"/>
          <w:sz w:val="36"/>
          <w:szCs w:val="36"/>
          <w:lang w:val="en-GB"/>
        </w:rPr>
        <w:t xml:space="preserve"> </w:t>
      </w:r>
    </w:p>
    <w:p w:rsidR="00261B0C" w:rsidRPr="00AF5902" w:rsidRDefault="00261B0C" w:rsidP="00261B0C">
      <w:pPr>
        <w:rPr>
          <w:bCs/>
          <w:lang w:val="en-GB"/>
        </w:rPr>
      </w:pPr>
    </w:p>
    <w:p w:rsidR="005C3FF7" w:rsidRPr="005C3FF7" w:rsidRDefault="005C3FF7" w:rsidP="00261B0C">
      <w:pPr>
        <w:rPr>
          <w:b/>
          <w:lang w:val="en-GB"/>
        </w:rPr>
      </w:pPr>
      <w:r w:rsidRPr="005C3FF7">
        <w:rPr>
          <w:b/>
          <w:lang w:val="en-GB"/>
        </w:rPr>
        <w:t>Output 1: Production and launch of the Iraq NHDR 2014</w:t>
      </w:r>
    </w:p>
    <w:p w:rsidR="005C3FF7" w:rsidRDefault="005C3FF7" w:rsidP="00261B0C">
      <w:pPr>
        <w:rPr>
          <w:bCs/>
          <w:lang w:val="en-GB"/>
        </w:rPr>
      </w:pPr>
    </w:p>
    <w:p w:rsidR="005C3FF7" w:rsidRDefault="005C3FF7" w:rsidP="00261B0C">
      <w:pPr>
        <w:rPr>
          <w:bCs/>
          <w:lang w:val="en-GB"/>
        </w:rPr>
      </w:pPr>
      <w:r>
        <w:rPr>
          <w:bCs/>
          <w:lang w:val="en-GB"/>
        </w:rPr>
        <w:t>The report was successfully completed as per AWP and launched in Baghdad on 17 Dec 2104. The activities that were implemented towards this end include:</w:t>
      </w:r>
    </w:p>
    <w:p w:rsidR="005C3FF7" w:rsidRDefault="005C3FF7" w:rsidP="00261B0C">
      <w:pPr>
        <w:rPr>
          <w:bCs/>
          <w:lang w:val="en-GB"/>
        </w:rPr>
      </w:pPr>
    </w:p>
    <w:p w:rsidR="00BF6051" w:rsidRDefault="005C3FF7" w:rsidP="00BF6051">
      <w:pPr>
        <w:pStyle w:val="ListParagraph"/>
        <w:numPr>
          <w:ilvl w:val="0"/>
          <w:numId w:val="23"/>
        </w:numPr>
        <w:rPr>
          <w:bCs/>
          <w:lang w:val="en-GB"/>
        </w:rPr>
      </w:pPr>
      <w:r>
        <w:rPr>
          <w:bCs/>
          <w:lang w:val="en-GB"/>
        </w:rPr>
        <w:t xml:space="preserve">Translation of the Arabic original to English: the issue of getting a quality translation </w:t>
      </w:r>
      <w:r w:rsidR="00BF6051">
        <w:rPr>
          <w:bCs/>
          <w:lang w:val="en-GB"/>
        </w:rPr>
        <w:t xml:space="preserve">for the NHDR </w:t>
      </w:r>
      <w:r>
        <w:rPr>
          <w:bCs/>
          <w:lang w:val="en-GB"/>
        </w:rPr>
        <w:t xml:space="preserve">remained a challenge. The root of the challenge remains with two factors: the first is the specificity of the original draft’s language to Iraqi technical terminology </w:t>
      </w:r>
      <w:r w:rsidR="00BF6051">
        <w:rPr>
          <w:bCs/>
          <w:lang w:val="en-GB"/>
        </w:rPr>
        <w:t>with</w:t>
      </w:r>
      <w:r>
        <w:rPr>
          <w:bCs/>
          <w:lang w:val="en-GB"/>
        </w:rPr>
        <w:t xml:space="preserve"> no adequate </w:t>
      </w:r>
      <w:r w:rsidR="00BF6051">
        <w:rPr>
          <w:bCs/>
          <w:lang w:val="en-GB"/>
        </w:rPr>
        <w:t xml:space="preserve">local </w:t>
      </w:r>
      <w:r>
        <w:rPr>
          <w:bCs/>
          <w:lang w:val="en-GB"/>
        </w:rPr>
        <w:t>translation capacity</w:t>
      </w:r>
      <w:r w:rsidR="00BF6051">
        <w:rPr>
          <w:bCs/>
          <w:lang w:val="en-GB"/>
        </w:rPr>
        <w:t>. The second is the size of the report.</w:t>
      </w:r>
    </w:p>
    <w:p w:rsidR="00BF6051" w:rsidRDefault="00BF6051" w:rsidP="00BF6051">
      <w:pPr>
        <w:pStyle w:val="ListParagraph"/>
        <w:rPr>
          <w:bCs/>
          <w:lang w:val="en-GB"/>
        </w:rPr>
      </w:pPr>
    </w:p>
    <w:p w:rsidR="005C3FF7" w:rsidRDefault="00BF6051" w:rsidP="00BF6051">
      <w:pPr>
        <w:pStyle w:val="ListParagraph"/>
        <w:rPr>
          <w:bCs/>
          <w:lang w:val="en-GB"/>
        </w:rPr>
      </w:pPr>
      <w:r>
        <w:rPr>
          <w:bCs/>
          <w:lang w:val="en-GB"/>
        </w:rPr>
        <w:t xml:space="preserve">The project exercised a layered approach to address the challenge. </w:t>
      </w:r>
      <w:r w:rsidR="005C3FF7">
        <w:rPr>
          <w:bCs/>
          <w:lang w:val="en-GB"/>
        </w:rPr>
        <w:t>The first layer included the identification of a qualified translator</w:t>
      </w:r>
      <w:r>
        <w:rPr>
          <w:bCs/>
          <w:lang w:val="en-GB"/>
        </w:rPr>
        <w:t>, not necessarily Iraqi,</w:t>
      </w:r>
      <w:r w:rsidR="005C3FF7">
        <w:rPr>
          <w:bCs/>
          <w:lang w:val="en-GB"/>
        </w:rPr>
        <w:t xml:space="preserve"> to de</w:t>
      </w:r>
      <w:r>
        <w:rPr>
          <w:bCs/>
          <w:lang w:val="en-GB"/>
        </w:rPr>
        <w:t>liver the first English draft. To overcome local terminology usage, the project prepared a glossary for the Lebanese translator that was identified. The second layer involved the review of the translation by an Iraqi expert who could use both Arabic and English. The final layer involved the editing of the English translation by a professional, native English editor. This ensured the best quality translation of the report</w:t>
      </w:r>
    </w:p>
    <w:p w:rsidR="00BF6051" w:rsidRPr="00BF6051" w:rsidRDefault="00BF6051" w:rsidP="00BF6051">
      <w:pPr>
        <w:pStyle w:val="ListParagraph"/>
        <w:rPr>
          <w:bCs/>
          <w:lang w:val="en-GB"/>
        </w:rPr>
      </w:pPr>
    </w:p>
    <w:p w:rsidR="005C3FF7" w:rsidRDefault="005C3FF7" w:rsidP="005C3FF7">
      <w:pPr>
        <w:pStyle w:val="ListParagraph"/>
        <w:numPr>
          <w:ilvl w:val="0"/>
          <w:numId w:val="23"/>
        </w:numPr>
        <w:rPr>
          <w:bCs/>
          <w:lang w:val="en-GB"/>
        </w:rPr>
      </w:pPr>
      <w:r>
        <w:rPr>
          <w:bCs/>
          <w:lang w:val="en-GB"/>
        </w:rPr>
        <w:t>Peer review</w:t>
      </w:r>
      <w:r w:rsidR="00BF6051">
        <w:rPr>
          <w:bCs/>
          <w:lang w:val="en-GB"/>
        </w:rPr>
        <w:t>: the English version was then circulated to a group of international experts to complement the work of the national peer review group. This included members from the UNDP Regional Centre, Cairo, and the Regional Bureau of Arab States. Comments provided by the peer review group were fed back to the author team for the final update of the draft.</w:t>
      </w:r>
    </w:p>
    <w:p w:rsidR="005C3FF7" w:rsidRDefault="005C3FF7" w:rsidP="000A267F">
      <w:pPr>
        <w:pStyle w:val="ListParagraph"/>
        <w:numPr>
          <w:ilvl w:val="0"/>
          <w:numId w:val="23"/>
        </w:numPr>
        <w:rPr>
          <w:bCs/>
          <w:lang w:val="en-GB"/>
        </w:rPr>
      </w:pPr>
      <w:r>
        <w:rPr>
          <w:bCs/>
          <w:lang w:val="en-GB"/>
        </w:rPr>
        <w:t>Printing</w:t>
      </w:r>
      <w:r w:rsidR="00BF6051">
        <w:rPr>
          <w:bCs/>
          <w:lang w:val="en-GB"/>
        </w:rPr>
        <w:t xml:space="preserve">: </w:t>
      </w:r>
      <w:r w:rsidR="00C101D7">
        <w:rPr>
          <w:bCs/>
          <w:lang w:val="en-GB"/>
        </w:rPr>
        <w:t xml:space="preserve">the project anticipated the complexity of securing a contract with the printing services early in the year and concluded the agreement with the service provider well ahead of the completion of the NHDR manuscript. Close monitoring and communication with the national team ensured the optimal production of the report. </w:t>
      </w:r>
      <w:r w:rsidR="000A267F">
        <w:rPr>
          <w:bCs/>
          <w:lang w:val="en-GB"/>
        </w:rPr>
        <w:t>The a</w:t>
      </w:r>
      <w:r w:rsidR="00C101D7">
        <w:rPr>
          <w:bCs/>
          <w:lang w:val="en-GB"/>
        </w:rPr>
        <w:t xml:space="preserve">ctive coordination enabled the </w:t>
      </w:r>
      <w:r w:rsidR="000A267F">
        <w:rPr>
          <w:bCs/>
          <w:lang w:val="en-GB"/>
        </w:rPr>
        <w:t>responsiveness to last minute requirements for additional printing services for the launch event such as the promotional folder and material that were handed out to launch event participants.</w:t>
      </w:r>
    </w:p>
    <w:p w:rsidR="005C3FF7" w:rsidRDefault="005C3FF7" w:rsidP="005C3FF7">
      <w:pPr>
        <w:pStyle w:val="ListParagraph"/>
        <w:numPr>
          <w:ilvl w:val="0"/>
          <w:numId w:val="23"/>
        </w:numPr>
        <w:rPr>
          <w:bCs/>
          <w:lang w:val="en-GB"/>
        </w:rPr>
      </w:pPr>
      <w:r>
        <w:rPr>
          <w:bCs/>
          <w:lang w:val="en-GB"/>
        </w:rPr>
        <w:t>Launch</w:t>
      </w:r>
      <w:r w:rsidR="000A267F">
        <w:rPr>
          <w:bCs/>
          <w:lang w:val="en-GB"/>
        </w:rPr>
        <w:t xml:space="preserve">: with the effective support of the UNDP Baghdad Office Events Management Team, the arrangements with the service providers in Baghdad were effectively managed. Again, responsive coordination was a key element in securing a successful event. This was specifically effective with the numerous change of the target date for the launch that resulted from </w:t>
      </w:r>
      <w:r w:rsidR="003B31F0">
        <w:rPr>
          <w:bCs/>
          <w:lang w:val="en-GB"/>
        </w:rPr>
        <w:t>matching the availability of the high level officials that participated in the event including the Iraqi PM and the UN SRSG, among other.</w:t>
      </w:r>
    </w:p>
    <w:p w:rsidR="003B31F0" w:rsidRDefault="003B31F0" w:rsidP="003B31F0">
      <w:pPr>
        <w:rPr>
          <w:bCs/>
          <w:lang w:val="en-GB"/>
        </w:rPr>
      </w:pPr>
    </w:p>
    <w:p w:rsidR="001F1C74" w:rsidRDefault="001F1C74">
      <w:pPr>
        <w:spacing w:after="200" w:line="276" w:lineRule="auto"/>
        <w:jc w:val="left"/>
        <w:rPr>
          <w:bCs/>
          <w:lang w:val="en-GB"/>
        </w:rPr>
      </w:pPr>
      <w:r>
        <w:rPr>
          <w:bCs/>
          <w:lang w:val="en-GB"/>
        </w:rPr>
        <w:br w:type="page"/>
      </w:r>
    </w:p>
    <w:p w:rsidR="003B31F0" w:rsidRPr="001F1C74" w:rsidRDefault="003B31F0" w:rsidP="003B31F0">
      <w:pPr>
        <w:rPr>
          <w:b/>
          <w:lang w:val="en-GB"/>
        </w:rPr>
      </w:pPr>
      <w:r w:rsidRPr="001F1C74">
        <w:rPr>
          <w:b/>
          <w:lang w:val="en-GB"/>
        </w:rPr>
        <w:lastRenderedPageBreak/>
        <w:t>Output 3: NHDR Communications Strategy</w:t>
      </w:r>
    </w:p>
    <w:p w:rsidR="003B31F0" w:rsidRDefault="003B31F0" w:rsidP="003B31F0">
      <w:pPr>
        <w:rPr>
          <w:bCs/>
          <w:lang w:val="en-GB"/>
        </w:rPr>
      </w:pPr>
    </w:p>
    <w:p w:rsidR="001F1C74" w:rsidRDefault="001F1C74" w:rsidP="00732539">
      <w:pPr>
        <w:rPr>
          <w:bCs/>
          <w:lang w:val="en-GB"/>
        </w:rPr>
      </w:pPr>
      <w:r>
        <w:rPr>
          <w:bCs/>
          <w:lang w:val="en-GB"/>
        </w:rPr>
        <w:t>The Communication Strategy for the promotion of the findings of the Iraq NHDR 2014 and the advocacy of youth issues was delivered prior to the launch of the report and formed the basis for the communication related matters related to the launch. This</w:t>
      </w:r>
      <w:r w:rsidR="00732539">
        <w:rPr>
          <w:bCs/>
          <w:lang w:val="en-GB"/>
        </w:rPr>
        <w:t xml:space="preserve"> includes the media kit</w:t>
      </w:r>
      <w:r>
        <w:rPr>
          <w:bCs/>
          <w:lang w:val="en-GB"/>
        </w:rPr>
        <w:t xml:space="preserve">, the </w:t>
      </w:r>
      <w:r w:rsidR="00732539">
        <w:rPr>
          <w:bCs/>
          <w:lang w:val="en-GB"/>
        </w:rPr>
        <w:t>press release, the website, and the launch material hand-outs.</w:t>
      </w:r>
    </w:p>
    <w:p w:rsidR="00732539" w:rsidRDefault="00732539" w:rsidP="00732539">
      <w:pPr>
        <w:rPr>
          <w:bCs/>
          <w:lang w:val="en-GB"/>
        </w:rPr>
      </w:pPr>
    </w:p>
    <w:p w:rsidR="00732539" w:rsidRDefault="00D26E21" w:rsidP="00D26E21">
      <w:pPr>
        <w:rPr>
          <w:bCs/>
          <w:lang w:val="en-GB"/>
        </w:rPr>
      </w:pPr>
      <w:r>
        <w:rPr>
          <w:bCs/>
          <w:lang w:val="en-GB"/>
        </w:rPr>
        <w:t>The AWP included two workshops to advise the Communication Strategy process. However, the escalation of violence in the country prevented the reasonable conduction of these workshops, and the consultative process was alternately conducted remotely through communication networks. The strong partnership established with the youth enabled their contribution to the preparation and finalization of the strategy.</w:t>
      </w:r>
    </w:p>
    <w:p w:rsidR="00261B0C" w:rsidRPr="007E5ADD" w:rsidRDefault="00261B0C" w:rsidP="006C18FB">
      <w:pPr>
        <w:pStyle w:val="Heading1"/>
        <w:rPr>
          <w:color w:val="66CCFF"/>
          <w:sz w:val="36"/>
          <w:szCs w:val="36"/>
        </w:rPr>
      </w:pPr>
      <w:bookmarkStart w:id="92" w:name="_Toc154209189"/>
      <w:bookmarkStart w:id="93" w:name="_Toc178587138"/>
      <w:bookmarkStart w:id="94" w:name="_Toc178675699"/>
      <w:bookmarkStart w:id="95" w:name="_Toc216068352"/>
      <w:r w:rsidRPr="007E5ADD">
        <w:rPr>
          <w:color w:val="66CCFF"/>
          <w:sz w:val="36"/>
          <w:szCs w:val="36"/>
        </w:rPr>
        <w:t xml:space="preserve">IV. Implementation </w:t>
      </w:r>
      <w:bookmarkEnd w:id="92"/>
      <w:r w:rsidRPr="007E5ADD">
        <w:rPr>
          <w:color w:val="66CCFF"/>
          <w:sz w:val="36"/>
          <w:szCs w:val="36"/>
        </w:rPr>
        <w:t>challenges</w:t>
      </w:r>
      <w:bookmarkEnd w:id="93"/>
      <w:bookmarkEnd w:id="94"/>
      <w:bookmarkEnd w:id="95"/>
    </w:p>
    <w:p w:rsidR="00261B0C" w:rsidRPr="007E5ADD" w:rsidRDefault="00261B0C" w:rsidP="006C18FB">
      <w:pPr>
        <w:pStyle w:val="Heading2"/>
        <w:rPr>
          <w:color w:val="66CCFF"/>
          <w:sz w:val="28"/>
          <w:szCs w:val="28"/>
        </w:rPr>
      </w:pPr>
      <w:bookmarkStart w:id="96" w:name="_Toc162356064"/>
      <w:bookmarkStart w:id="97" w:name="_Toc178587139"/>
      <w:bookmarkStart w:id="98" w:name="_Toc178675700"/>
      <w:bookmarkStart w:id="99" w:name="_Toc216068353"/>
      <w:r w:rsidRPr="007E5ADD">
        <w:rPr>
          <w:color w:val="66CCFF"/>
          <w:sz w:val="28"/>
          <w:szCs w:val="28"/>
        </w:rPr>
        <w:t>Project risks and actions</w:t>
      </w:r>
      <w:bookmarkEnd w:id="96"/>
      <w:bookmarkEnd w:id="97"/>
      <w:bookmarkEnd w:id="98"/>
      <w:bookmarkEnd w:id="99"/>
    </w:p>
    <w:p w:rsidR="00261B0C" w:rsidRPr="00AF5902" w:rsidRDefault="00261B0C" w:rsidP="00261B0C">
      <w:pPr>
        <w:rPr>
          <w:rFonts w:cs="Arial"/>
          <w:i/>
          <w:color w:val="0000FF"/>
          <w:szCs w:val="22"/>
          <w:lang w:val="en-GB"/>
        </w:rPr>
      </w:pPr>
    </w:p>
    <w:p w:rsidR="00261B0C" w:rsidRDefault="00FF6A01" w:rsidP="00FF6A01">
      <w:pPr>
        <w:rPr>
          <w:rFonts w:cs="Arial"/>
          <w:szCs w:val="22"/>
          <w:lang w:val="en-GB"/>
        </w:rPr>
      </w:pPr>
      <w:bookmarkStart w:id="100" w:name="_Toc162356065"/>
      <w:r>
        <w:rPr>
          <w:rFonts w:cs="Arial"/>
          <w:szCs w:val="22"/>
          <w:lang w:val="en-GB"/>
        </w:rPr>
        <w:t>The year 2014 witnessed the resurgence of violence in the country. The details of the incidents is well documented elsewhere and referenced where relevant in this document, therefore the following section will only discuss what its effects were on the project.</w:t>
      </w:r>
    </w:p>
    <w:p w:rsidR="00FF6A01" w:rsidRDefault="00FF6A01" w:rsidP="00FF6A01">
      <w:pPr>
        <w:rPr>
          <w:rFonts w:cs="Arial"/>
          <w:szCs w:val="22"/>
          <w:lang w:val="en-GB"/>
        </w:rPr>
      </w:pPr>
    </w:p>
    <w:p w:rsidR="00FF6A01" w:rsidRDefault="00FF6A01" w:rsidP="009E7F82">
      <w:pPr>
        <w:rPr>
          <w:rFonts w:cs="Arial"/>
          <w:szCs w:val="22"/>
          <w:lang w:val="en-GB"/>
        </w:rPr>
      </w:pPr>
      <w:r>
        <w:rPr>
          <w:rFonts w:cs="Arial"/>
          <w:szCs w:val="22"/>
          <w:lang w:val="en-GB"/>
        </w:rPr>
        <w:t xml:space="preserve">The incidents did not impact the management of the project as the location of the managing team was in the Kurdistan area, which was relatively secure. Printing of the report was located outside the country and the activity </w:t>
      </w:r>
      <w:r w:rsidR="009E7F82">
        <w:rPr>
          <w:rFonts w:cs="Arial"/>
          <w:szCs w:val="22"/>
          <w:lang w:val="en-GB"/>
        </w:rPr>
        <w:t>proceeded as planned, and all risks in this matter were averted. This also applies to the delivery of the Communications Strategy that was conducted by an international consultant working from home outside the country.</w:t>
      </w:r>
    </w:p>
    <w:p w:rsidR="009E7F82" w:rsidRDefault="009E7F82" w:rsidP="009E7F82">
      <w:pPr>
        <w:rPr>
          <w:rFonts w:cs="Arial"/>
          <w:szCs w:val="22"/>
          <w:lang w:val="en-GB"/>
        </w:rPr>
      </w:pPr>
    </w:p>
    <w:p w:rsidR="009E7F82" w:rsidRDefault="009E7F82" w:rsidP="009E7F82">
      <w:pPr>
        <w:rPr>
          <w:rFonts w:cs="Arial"/>
          <w:szCs w:val="22"/>
          <w:lang w:val="en-GB"/>
        </w:rPr>
      </w:pPr>
      <w:r>
        <w:rPr>
          <w:rFonts w:cs="Arial"/>
          <w:szCs w:val="22"/>
          <w:lang w:val="en-GB"/>
        </w:rPr>
        <w:t>The only impact that the security situation had on the project was in the conduction of two workshops related to the Communication Strategy which were planned in the country. These workshops were planned for governorate participation to participate in the subsequent promotion of the report’s findings and to consult with the participants on the possibilities related to their locations.</w:t>
      </w:r>
    </w:p>
    <w:p w:rsidR="009E7F82" w:rsidRDefault="009E7F82" w:rsidP="009E7F82">
      <w:pPr>
        <w:rPr>
          <w:rFonts w:cs="Arial"/>
          <w:szCs w:val="22"/>
          <w:lang w:val="en-GB"/>
        </w:rPr>
      </w:pPr>
    </w:p>
    <w:p w:rsidR="009E7F82" w:rsidRDefault="009E7F82" w:rsidP="009E7F82">
      <w:pPr>
        <w:rPr>
          <w:rFonts w:cs="Arial"/>
          <w:szCs w:val="22"/>
          <w:lang w:val="en-GB"/>
        </w:rPr>
      </w:pPr>
      <w:r>
        <w:rPr>
          <w:rFonts w:cs="Arial"/>
          <w:szCs w:val="22"/>
          <w:lang w:val="en-GB"/>
        </w:rPr>
        <w:t>The you</w:t>
      </w:r>
      <w:r w:rsidR="00757CA0">
        <w:rPr>
          <w:rFonts w:cs="Arial"/>
          <w:szCs w:val="22"/>
          <w:lang w:val="en-GB"/>
        </w:rPr>
        <w:t>th network that was linked to the project since its inception came into play and remote communications was arranged for the youth’s contribution and involvement in the preparation of the Communication Strategy. This also laid the path for an agreement with the national counterparts to lead on the promotion of the report and advocate the issues through their own channels and using their own resources.</w:t>
      </w:r>
    </w:p>
    <w:p w:rsidR="00261B0C" w:rsidRPr="00AF5902" w:rsidRDefault="00261B0C" w:rsidP="00261B0C">
      <w:pPr>
        <w:rPr>
          <w:i/>
          <w:smallCaps/>
          <w:sz w:val="24"/>
          <w:lang w:val="en-GB"/>
        </w:rPr>
      </w:pPr>
    </w:p>
    <w:p w:rsidR="00261B0C" w:rsidRPr="007E5ADD" w:rsidRDefault="00261B0C" w:rsidP="006C18FB">
      <w:pPr>
        <w:pStyle w:val="Heading2"/>
        <w:rPr>
          <w:color w:val="66CCFF"/>
          <w:sz w:val="28"/>
          <w:szCs w:val="28"/>
        </w:rPr>
      </w:pPr>
      <w:bookmarkStart w:id="101" w:name="_Toc178587140"/>
      <w:bookmarkStart w:id="102" w:name="_Toc178675702"/>
      <w:bookmarkStart w:id="103" w:name="_Toc216068354"/>
      <w:r w:rsidRPr="007E5ADD">
        <w:rPr>
          <w:color w:val="66CCFF"/>
          <w:sz w:val="28"/>
          <w:szCs w:val="28"/>
        </w:rPr>
        <w:t>Project issues and actions</w:t>
      </w:r>
      <w:bookmarkEnd w:id="100"/>
      <w:bookmarkEnd w:id="101"/>
      <w:bookmarkEnd w:id="102"/>
      <w:bookmarkEnd w:id="103"/>
    </w:p>
    <w:p w:rsidR="00261B0C" w:rsidRDefault="00261B0C" w:rsidP="00261B0C">
      <w:pPr>
        <w:rPr>
          <w:rFonts w:cs="Arial"/>
          <w:szCs w:val="22"/>
          <w:lang w:val="en-GB"/>
        </w:rPr>
      </w:pPr>
    </w:p>
    <w:p w:rsidR="00757CA0" w:rsidRDefault="00757CA0" w:rsidP="00757CA0">
      <w:pPr>
        <w:rPr>
          <w:rFonts w:cs="Arial"/>
          <w:szCs w:val="22"/>
          <w:lang w:val="en-GB"/>
        </w:rPr>
      </w:pPr>
      <w:r>
        <w:rPr>
          <w:rFonts w:cs="Arial"/>
          <w:szCs w:val="22"/>
          <w:lang w:val="en-GB"/>
        </w:rPr>
        <w:t>No particular issues remain as the report was completed and launched. However, the exit of UNDP from the NHDR process in Iraq seems likely as no resources are being allocated for follow up activities.</w:t>
      </w:r>
    </w:p>
    <w:p w:rsidR="006E0AD2" w:rsidRPr="00AF5902" w:rsidRDefault="006E0AD2" w:rsidP="00757CA0">
      <w:pPr>
        <w:rPr>
          <w:rFonts w:cs="Arial"/>
          <w:szCs w:val="22"/>
          <w:lang w:val="en-GB"/>
        </w:rPr>
      </w:pPr>
      <w:bookmarkStart w:id="104" w:name="_GoBack"/>
      <w:bookmarkEnd w:id="104"/>
    </w:p>
    <w:p w:rsidR="00261B0C" w:rsidRPr="007E5ADD" w:rsidRDefault="00261B0C" w:rsidP="006C18FB">
      <w:pPr>
        <w:pStyle w:val="Heading1"/>
        <w:rPr>
          <w:color w:val="66CCFF"/>
          <w:sz w:val="36"/>
          <w:szCs w:val="36"/>
        </w:rPr>
      </w:pPr>
      <w:bookmarkStart w:id="105" w:name="_Toc154209190"/>
      <w:bookmarkStart w:id="106" w:name="_Toc178587141"/>
      <w:bookmarkStart w:id="107" w:name="_Toc178675704"/>
      <w:bookmarkStart w:id="108" w:name="_Toc216068355"/>
      <w:r w:rsidRPr="007E5ADD">
        <w:rPr>
          <w:color w:val="66CCFF"/>
          <w:sz w:val="36"/>
          <w:szCs w:val="36"/>
        </w:rPr>
        <w:lastRenderedPageBreak/>
        <w:t>V. Lessons learnt and next steps</w:t>
      </w:r>
      <w:bookmarkEnd w:id="105"/>
      <w:bookmarkEnd w:id="106"/>
      <w:bookmarkEnd w:id="107"/>
      <w:bookmarkEnd w:id="108"/>
      <w:r w:rsidRPr="007E5ADD">
        <w:rPr>
          <w:color w:val="66CCFF"/>
          <w:sz w:val="36"/>
          <w:szCs w:val="36"/>
        </w:rPr>
        <w:t xml:space="preserve"> </w:t>
      </w:r>
    </w:p>
    <w:p w:rsidR="00261B0C" w:rsidRPr="007E5ADD" w:rsidRDefault="00261B0C" w:rsidP="006C18FB">
      <w:pPr>
        <w:pStyle w:val="Heading2"/>
        <w:rPr>
          <w:color w:val="66CCFF"/>
          <w:sz w:val="28"/>
          <w:szCs w:val="28"/>
        </w:rPr>
      </w:pPr>
      <w:bookmarkStart w:id="109" w:name="_Toc154140548"/>
      <w:bookmarkStart w:id="110" w:name="_Toc154140603"/>
      <w:bookmarkStart w:id="111" w:name="_Toc154209191"/>
      <w:bookmarkStart w:id="112" w:name="_Toc178587142"/>
      <w:bookmarkStart w:id="113" w:name="_Toc178675705"/>
      <w:bookmarkStart w:id="114" w:name="_Toc216068356"/>
      <w:r w:rsidRPr="007E5ADD">
        <w:rPr>
          <w:color w:val="66CCFF"/>
          <w:sz w:val="28"/>
          <w:szCs w:val="28"/>
        </w:rPr>
        <w:t>Lessons learn</w:t>
      </w:r>
      <w:bookmarkEnd w:id="109"/>
      <w:bookmarkEnd w:id="110"/>
      <w:r w:rsidRPr="007E5ADD">
        <w:rPr>
          <w:color w:val="66CCFF"/>
          <w:sz w:val="28"/>
          <w:szCs w:val="28"/>
        </w:rPr>
        <w:t>t</w:t>
      </w:r>
      <w:bookmarkEnd w:id="111"/>
      <w:bookmarkEnd w:id="112"/>
      <w:bookmarkEnd w:id="113"/>
      <w:bookmarkEnd w:id="114"/>
    </w:p>
    <w:p w:rsidR="006C18FB" w:rsidRPr="006C18FB" w:rsidRDefault="006C18FB" w:rsidP="006C18FB">
      <w:pPr>
        <w:rPr>
          <w:lang w:val="en-GB"/>
        </w:rPr>
      </w:pPr>
    </w:p>
    <w:p w:rsidR="006E0AD2" w:rsidRPr="00526BDB" w:rsidRDefault="006E0AD2" w:rsidP="006E0AD2">
      <w:pPr>
        <w:rPr>
          <w:rFonts w:asciiTheme="minorHAnsi" w:eastAsia="Calibri" w:hAnsiTheme="minorHAnsi"/>
          <w:b/>
          <w:bCs/>
          <w:lang w:val="en-GB"/>
        </w:rPr>
      </w:pPr>
      <w:bookmarkStart w:id="115" w:name="_Toc154140549"/>
      <w:bookmarkStart w:id="116" w:name="_Toc154140604"/>
      <w:bookmarkStart w:id="117" w:name="_Toc154209192"/>
      <w:bookmarkStart w:id="118" w:name="_Toc178587143"/>
      <w:bookmarkStart w:id="119" w:name="_Toc178675706"/>
      <w:bookmarkStart w:id="120" w:name="_Toc216068357"/>
      <w:r w:rsidRPr="00526BDB">
        <w:rPr>
          <w:rFonts w:asciiTheme="minorHAnsi" w:eastAsia="Calibri" w:hAnsiTheme="minorHAnsi"/>
          <w:b/>
          <w:bCs/>
          <w:lang w:val="en-GB"/>
        </w:rPr>
        <w:t>A) Operational</w:t>
      </w:r>
    </w:p>
    <w:p w:rsidR="006E0AD2" w:rsidRPr="00526BDB" w:rsidRDefault="006E0AD2" w:rsidP="006E0AD2">
      <w:pPr>
        <w:rPr>
          <w:rFonts w:asciiTheme="minorHAnsi" w:eastAsia="Calibri" w:hAnsiTheme="minorHAnsi"/>
          <w:lang w:val="en-GB"/>
        </w:rPr>
      </w:pPr>
      <w:r w:rsidRPr="00526BDB">
        <w:rPr>
          <w:rFonts w:asciiTheme="minorHAnsi" w:eastAsia="Calibri" w:hAnsiTheme="minorHAnsi"/>
          <w:lang w:val="en-GB"/>
        </w:rPr>
        <w:t xml:space="preserve">In  view of the difficulties that </w:t>
      </w:r>
      <w:proofErr w:type="spellStart"/>
      <w:r w:rsidRPr="00526BDB">
        <w:rPr>
          <w:rFonts w:asciiTheme="minorHAnsi" w:eastAsia="Calibri" w:hAnsiTheme="minorHAnsi"/>
          <w:lang w:val="en-GB"/>
        </w:rPr>
        <w:t>Baytal</w:t>
      </w:r>
      <w:proofErr w:type="spellEnd"/>
      <w:r w:rsidRPr="00526BDB">
        <w:rPr>
          <w:rFonts w:asciiTheme="minorHAnsi" w:eastAsia="Calibri" w:hAnsiTheme="minorHAnsi"/>
          <w:lang w:val="en-GB"/>
        </w:rPr>
        <w:t xml:space="preserve"> </w:t>
      </w:r>
      <w:proofErr w:type="spellStart"/>
      <w:r w:rsidRPr="00526BDB">
        <w:rPr>
          <w:rFonts w:asciiTheme="minorHAnsi" w:eastAsia="Calibri" w:hAnsiTheme="minorHAnsi"/>
          <w:lang w:val="en-GB"/>
        </w:rPr>
        <w:t>Hikma</w:t>
      </w:r>
      <w:proofErr w:type="spellEnd"/>
      <w:r w:rsidRPr="00526BDB">
        <w:rPr>
          <w:rFonts w:asciiTheme="minorHAnsi" w:eastAsia="Calibri" w:hAnsiTheme="minorHAnsi"/>
          <w:lang w:val="en-GB"/>
        </w:rPr>
        <w:t xml:space="preserve"> faced in delivering the report in the planned timeframe and the repeated postponement of the completion and launch of the report, the re-assessment of the capacity of </w:t>
      </w:r>
      <w:proofErr w:type="spellStart"/>
      <w:r w:rsidRPr="00526BDB">
        <w:rPr>
          <w:rFonts w:asciiTheme="minorHAnsi" w:eastAsia="Calibri" w:hAnsiTheme="minorHAnsi"/>
          <w:lang w:val="en-GB"/>
        </w:rPr>
        <w:t>Baytal</w:t>
      </w:r>
      <w:proofErr w:type="spellEnd"/>
      <w:r w:rsidRPr="00526BDB">
        <w:rPr>
          <w:rFonts w:asciiTheme="minorHAnsi" w:eastAsia="Calibri" w:hAnsiTheme="minorHAnsi"/>
          <w:lang w:val="en-GB"/>
        </w:rPr>
        <w:t xml:space="preserve"> </w:t>
      </w:r>
      <w:proofErr w:type="spellStart"/>
      <w:r w:rsidRPr="00526BDB">
        <w:rPr>
          <w:rFonts w:asciiTheme="minorHAnsi" w:eastAsia="Calibri" w:hAnsiTheme="minorHAnsi"/>
          <w:lang w:val="en-GB"/>
        </w:rPr>
        <w:t>Hikma</w:t>
      </w:r>
      <w:proofErr w:type="spellEnd"/>
      <w:r w:rsidRPr="00526BDB">
        <w:rPr>
          <w:rFonts w:asciiTheme="minorHAnsi" w:eastAsia="Calibri" w:hAnsiTheme="minorHAnsi"/>
          <w:lang w:val="en-GB"/>
        </w:rPr>
        <w:t xml:space="preserve"> to engage in future exercises of this kind has to be undertaken.</w:t>
      </w:r>
    </w:p>
    <w:p w:rsidR="006E0AD2" w:rsidRPr="00526BDB" w:rsidRDefault="006E0AD2" w:rsidP="006E0AD2">
      <w:pPr>
        <w:rPr>
          <w:rFonts w:asciiTheme="minorHAnsi" w:eastAsia="Calibri" w:hAnsiTheme="minorHAnsi"/>
          <w:lang w:val="en-GB"/>
        </w:rPr>
      </w:pPr>
      <w:r w:rsidRPr="00526BDB">
        <w:rPr>
          <w:rFonts w:asciiTheme="minorHAnsi" w:eastAsia="Calibri" w:hAnsiTheme="minorHAnsi"/>
          <w:lang w:val="en-GB"/>
        </w:rPr>
        <w:t xml:space="preserve">In the past two years during which </w:t>
      </w:r>
      <w:proofErr w:type="spellStart"/>
      <w:r w:rsidRPr="00526BDB">
        <w:rPr>
          <w:rFonts w:asciiTheme="minorHAnsi" w:eastAsia="Calibri" w:hAnsiTheme="minorHAnsi"/>
          <w:lang w:val="en-GB"/>
        </w:rPr>
        <w:t>Baytal</w:t>
      </w:r>
      <w:proofErr w:type="spellEnd"/>
      <w:r w:rsidRPr="00526BDB">
        <w:rPr>
          <w:rFonts w:asciiTheme="minorHAnsi" w:eastAsia="Calibri" w:hAnsiTheme="minorHAnsi"/>
          <w:lang w:val="en-GB"/>
        </w:rPr>
        <w:t xml:space="preserve"> </w:t>
      </w:r>
      <w:proofErr w:type="spellStart"/>
      <w:r w:rsidRPr="00526BDB">
        <w:rPr>
          <w:rFonts w:asciiTheme="minorHAnsi" w:eastAsia="Calibri" w:hAnsiTheme="minorHAnsi"/>
          <w:lang w:val="en-GB"/>
        </w:rPr>
        <w:t>Hikma</w:t>
      </w:r>
      <w:proofErr w:type="spellEnd"/>
      <w:r w:rsidRPr="00526BDB">
        <w:rPr>
          <w:rFonts w:asciiTheme="minorHAnsi" w:eastAsia="Calibri" w:hAnsiTheme="minorHAnsi"/>
          <w:lang w:val="en-GB"/>
        </w:rPr>
        <w:t xml:space="preserve"> has been implementing the Iraq NHDR, its management capacity has shown clear signs of regression. This is mainly in terms of its administrative structure and its operational ability to support the technical activities, such as the authoring of the report. The project’s final report will have to provide a complete assessment of </w:t>
      </w:r>
      <w:proofErr w:type="spellStart"/>
      <w:r w:rsidRPr="00526BDB">
        <w:rPr>
          <w:rFonts w:asciiTheme="minorHAnsi" w:eastAsia="Calibri" w:hAnsiTheme="minorHAnsi"/>
          <w:lang w:val="en-GB"/>
        </w:rPr>
        <w:t>Baytal</w:t>
      </w:r>
      <w:proofErr w:type="spellEnd"/>
      <w:r w:rsidRPr="00526BDB">
        <w:rPr>
          <w:rFonts w:asciiTheme="minorHAnsi" w:eastAsia="Calibri" w:hAnsiTheme="minorHAnsi"/>
          <w:lang w:val="en-GB"/>
        </w:rPr>
        <w:t xml:space="preserve"> </w:t>
      </w:r>
      <w:proofErr w:type="spellStart"/>
      <w:r w:rsidRPr="00526BDB">
        <w:rPr>
          <w:rFonts w:asciiTheme="minorHAnsi" w:eastAsia="Calibri" w:hAnsiTheme="minorHAnsi"/>
          <w:lang w:val="en-GB"/>
        </w:rPr>
        <w:t>Hikma’s</w:t>
      </w:r>
      <w:proofErr w:type="spellEnd"/>
      <w:r w:rsidRPr="00526BDB">
        <w:rPr>
          <w:rFonts w:asciiTheme="minorHAnsi" w:eastAsia="Calibri" w:hAnsiTheme="minorHAnsi"/>
          <w:lang w:val="en-GB"/>
        </w:rPr>
        <w:t xml:space="preserve"> performance and make recommendations for UNDP’s future partnership with this institution.</w:t>
      </w:r>
    </w:p>
    <w:p w:rsidR="006E0AD2" w:rsidRPr="00526BDB" w:rsidRDefault="006E0AD2" w:rsidP="006E0AD2">
      <w:pPr>
        <w:rPr>
          <w:rFonts w:asciiTheme="minorHAnsi" w:eastAsia="Calibri" w:hAnsiTheme="minorHAnsi"/>
          <w:lang w:val="en-GB"/>
        </w:rPr>
      </w:pPr>
      <w:r w:rsidRPr="00526BDB">
        <w:rPr>
          <w:rFonts w:asciiTheme="minorHAnsi" w:eastAsia="Calibri" w:hAnsiTheme="minorHAnsi"/>
          <w:lang w:val="en-GB"/>
        </w:rPr>
        <w:t>The translation of the report also proved to be a challenge in a number of ways. Most important is the technical nature and complexity of the report’s substance. This requires very specialized translation. Another challenge is the inability of the reviewing entities, such as the HDRO to review the report in its original language. The HDRO specifically requested and English version to proceed with the review of the report.</w:t>
      </w:r>
    </w:p>
    <w:p w:rsidR="006E0AD2" w:rsidRPr="00526BDB" w:rsidRDefault="006E0AD2" w:rsidP="006E0AD2">
      <w:pPr>
        <w:rPr>
          <w:rFonts w:asciiTheme="minorHAnsi" w:eastAsia="Calibri" w:hAnsiTheme="minorHAnsi"/>
          <w:lang w:val="en-GB"/>
        </w:rPr>
      </w:pPr>
      <w:r w:rsidRPr="00526BDB">
        <w:rPr>
          <w:rFonts w:asciiTheme="minorHAnsi" w:eastAsia="Calibri" w:hAnsiTheme="minorHAnsi"/>
          <w:lang w:val="en-GB"/>
        </w:rPr>
        <w:t xml:space="preserve">Therefore, the corporate evaluation of the report will be influenced by the quality of the translation, which no matter how </w:t>
      </w:r>
      <w:proofErr w:type="gramStart"/>
      <w:r w:rsidRPr="00526BDB">
        <w:rPr>
          <w:rFonts w:asciiTheme="minorHAnsi" w:eastAsia="Calibri" w:hAnsiTheme="minorHAnsi"/>
          <w:lang w:val="en-GB"/>
        </w:rPr>
        <w:t>good,</w:t>
      </w:r>
      <w:proofErr w:type="gramEnd"/>
      <w:r w:rsidRPr="00526BDB">
        <w:rPr>
          <w:rFonts w:asciiTheme="minorHAnsi" w:eastAsia="Calibri" w:hAnsiTheme="minorHAnsi"/>
          <w:lang w:val="en-GB"/>
        </w:rPr>
        <w:t xml:space="preserve"> will lose some of the quality of the original text. Future exercises might consider authoring the report in English in parallel with the Arabic version.</w:t>
      </w:r>
    </w:p>
    <w:p w:rsidR="006E0AD2" w:rsidRDefault="006E0AD2" w:rsidP="006E0AD2">
      <w:pPr>
        <w:rPr>
          <w:rFonts w:asciiTheme="minorHAnsi" w:eastAsia="Calibri" w:hAnsiTheme="minorHAnsi"/>
          <w:b/>
          <w:bCs/>
          <w:lang w:val="en-GB"/>
        </w:rPr>
      </w:pPr>
    </w:p>
    <w:p w:rsidR="006E0AD2" w:rsidRPr="00526BDB" w:rsidRDefault="006E0AD2" w:rsidP="006E0AD2">
      <w:pPr>
        <w:rPr>
          <w:rFonts w:asciiTheme="minorHAnsi" w:eastAsia="Calibri" w:hAnsiTheme="minorHAnsi"/>
          <w:b/>
          <w:bCs/>
          <w:lang w:val="en-GB"/>
        </w:rPr>
      </w:pPr>
      <w:r w:rsidRPr="00526BDB">
        <w:rPr>
          <w:rFonts w:asciiTheme="minorHAnsi" w:eastAsia="Calibri" w:hAnsiTheme="minorHAnsi"/>
          <w:b/>
          <w:bCs/>
          <w:lang w:val="en-GB"/>
        </w:rPr>
        <w:t>B) Substantive</w:t>
      </w:r>
    </w:p>
    <w:p w:rsidR="006E0AD2" w:rsidRPr="00526BDB" w:rsidRDefault="006E0AD2" w:rsidP="006E0AD2">
      <w:pPr>
        <w:rPr>
          <w:rFonts w:asciiTheme="minorHAnsi" w:eastAsia="Calibri" w:hAnsiTheme="minorHAnsi"/>
          <w:lang w:val="en-GB"/>
        </w:rPr>
      </w:pPr>
      <w:r w:rsidRPr="00526BDB">
        <w:rPr>
          <w:rFonts w:asciiTheme="minorHAnsi" w:eastAsia="Calibri" w:hAnsiTheme="minorHAnsi"/>
          <w:lang w:val="en-GB"/>
        </w:rPr>
        <w:t>1. The field work conducted under the current project and the report’s findings have shown wide regional disparities and highlights the need for more focused regional NHDRs. The Lead Author suggested two reports on a regional level: one for the more developed region in Kurdistan, and the other on the most deprived areas, such as the Marshes of Iraq.</w:t>
      </w:r>
    </w:p>
    <w:p w:rsidR="006E0AD2" w:rsidRPr="00526BDB" w:rsidRDefault="006E0AD2" w:rsidP="006E0AD2">
      <w:pPr>
        <w:rPr>
          <w:rFonts w:asciiTheme="minorHAnsi" w:eastAsia="Calibri" w:hAnsiTheme="minorHAnsi"/>
          <w:lang w:val="en-GB"/>
        </w:rPr>
      </w:pPr>
      <w:r w:rsidRPr="00526BDB">
        <w:rPr>
          <w:rFonts w:asciiTheme="minorHAnsi" w:eastAsia="Calibri" w:hAnsiTheme="minorHAnsi"/>
          <w:lang w:val="en-GB"/>
        </w:rPr>
        <w:t>2. The report has shown that inequalities among the Iraqi governorates are a serious development issue. Efforts to address poverty in Iraq and improve the living standards and the national level of development should address inequalities and focus on the less developed geographical regions for support.</w:t>
      </w:r>
    </w:p>
    <w:p w:rsidR="006E0AD2" w:rsidRPr="00526BDB" w:rsidRDefault="006E0AD2" w:rsidP="006E0AD2">
      <w:pPr>
        <w:rPr>
          <w:rFonts w:asciiTheme="minorHAnsi" w:eastAsia="Calibri" w:hAnsiTheme="minorHAnsi"/>
          <w:lang w:val="en-GB"/>
        </w:rPr>
      </w:pPr>
      <w:r w:rsidRPr="00526BDB">
        <w:rPr>
          <w:rFonts w:asciiTheme="minorHAnsi" w:eastAsia="Calibri" w:hAnsiTheme="minorHAnsi"/>
          <w:lang w:val="en-GB"/>
        </w:rPr>
        <w:t>3. Social inequalities are also an issue that the report highlights. The report quantitative analysis has shown that the youth segment is more deprived than the whole of the population, and that female youth are the most deprived, especially in terms of income generation.</w:t>
      </w:r>
    </w:p>
    <w:p w:rsidR="006E0AD2" w:rsidRPr="00526BDB" w:rsidRDefault="006E0AD2" w:rsidP="006E0AD2">
      <w:pPr>
        <w:rPr>
          <w:rFonts w:asciiTheme="minorHAnsi" w:eastAsia="Calibri" w:hAnsiTheme="minorHAnsi"/>
          <w:lang w:val="en-GB"/>
        </w:rPr>
      </w:pPr>
      <w:r w:rsidRPr="00526BDB">
        <w:rPr>
          <w:rFonts w:asciiTheme="minorHAnsi" w:eastAsia="Calibri" w:hAnsiTheme="minorHAnsi"/>
          <w:lang w:val="en-GB"/>
        </w:rPr>
        <w:t>4. The NHDR exercise as a whole has generated a wealth of information for each of the Iraqi governorates, and this should be considered in the next step of HD reporting on Iraq. It is important to repackage the data and information generated in dedicated governorate profiles to compliment the aggregated presentation that the NHDR will provide. Sub governorate level data are much in demand by the humanitarian and development activities and initiatives. The governorate profiles exercise could be linked with the local area initiatives that the office is supporting, such as the Local Area Development Programme. These profiles will be very useful in determining levels of development and designing the proper approaches to improve them at the local level by the local actors.</w:t>
      </w:r>
    </w:p>
    <w:p w:rsidR="00261B0C" w:rsidRPr="007E5ADD" w:rsidRDefault="00261B0C" w:rsidP="006C18FB">
      <w:pPr>
        <w:pStyle w:val="Heading2"/>
        <w:rPr>
          <w:color w:val="66CCFF"/>
          <w:sz w:val="28"/>
          <w:szCs w:val="28"/>
        </w:rPr>
      </w:pPr>
      <w:r w:rsidRPr="007E5ADD">
        <w:rPr>
          <w:color w:val="66CCFF"/>
          <w:sz w:val="28"/>
          <w:szCs w:val="28"/>
        </w:rPr>
        <w:t>Recommendations</w:t>
      </w:r>
      <w:bookmarkEnd w:id="115"/>
      <w:bookmarkEnd w:id="116"/>
      <w:bookmarkEnd w:id="117"/>
      <w:bookmarkEnd w:id="118"/>
      <w:bookmarkEnd w:id="119"/>
      <w:bookmarkEnd w:id="120"/>
      <w:r w:rsidRPr="007E5ADD">
        <w:rPr>
          <w:color w:val="66CCFF"/>
          <w:sz w:val="28"/>
          <w:szCs w:val="28"/>
        </w:rPr>
        <w:t xml:space="preserve"> </w:t>
      </w:r>
    </w:p>
    <w:p w:rsidR="006C18FB" w:rsidRDefault="004E189D" w:rsidP="006E0AD2">
      <w:pPr>
        <w:pStyle w:val="ListParagraph"/>
        <w:numPr>
          <w:ilvl w:val="0"/>
          <w:numId w:val="24"/>
        </w:numPr>
        <w:rPr>
          <w:lang w:val="en-GB"/>
        </w:rPr>
      </w:pPr>
      <w:r>
        <w:rPr>
          <w:lang w:val="en-GB"/>
        </w:rPr>
        <w:t>Start discussions with the national counterparts for the next round of NHDR reporting, focusing on regional specific requirements.</w:t>
      </w:r>
    </w:p>
    <w:p w:rsidR="004E189D" w:rsidRDefault="004E189D" w:rsidP="006E0AD2">
      <w:pPr>
        <w:pStyle w:val="ListParagraph"/>
        <w:numPr>
          <w:ilvl w:val="0"/>
          <w:numId w:val="24"/>
        </w:numPr>
        <w:rPr>
          <w:lang w:val="en-GB"/>
        </w:rPr>
      </w:pPr>
      <w:r>
        <w:rPr>
          <w:lang w:val="en-GB"/>
        </w:rPr>
        <w:t>Exploring the option of simultaneous language authoring to avoid later translation problems</w:t>
      </w:r>
    </w:p>
    <w:p w:rsidR="004E189D" w:rsidRDefault="004E189D" w:rsidP="006E0AD2">
      <w:pPr>
        <w:pStyle w:val="ListParagraph"/>
        <w:numPr>
          <w:ilvl w:val="0"/>
          <w:numId w:val="24"/>
        </w:numPr>
        <w:rPr>
          <w:lang w:val="en-GB"/>
        </w:rPr>
      </w:pPr>
      <w:r>
        <w:rPr>
          <w:lang w:val="en-GB"/>
        </w:rPr>
        <w:t>Considering the possibility of fixed annual financial allocations for HD reporting</w:t>
      </w:r>
    </w:p>
    <w:p w:rsidR="004E189D" w:rsidRPr="006E0AD2" w:rsidRDefault="004E189D" w:rsidP="006E0AD2">
      <w:pPr>
        <w:pStyle w:val="ListParagraph"/>
        <w:numPr>
          <w:ilvl w:val="0"/>
          <w:numId w:val="24"/>
        </w:numPr>
        <w:rPr>
          <w:lang w:val="en-GB"/>
        </w:rPr>
      </w:pPr>
      <w:r>
        <w:rPr>
          <w:lang w:val="en-GB"/>
        </w:rPr>
        <w:lastRenderedPageBreak/>
        <w:t>Extending NHDR knowledge across the CO</w:t>
      </w:r>
    </w:p>
    <w:p w:rsidR="00261B0C" w:rsidRPr="00AF5902" w:rsidRDefault="00261B0C" w:rsidP="00261B0C">
      <w:pPr>
        <w:rPr>
          <w:lang w:val="en-GB"/>
        </w:rPr>
      </w:pPr>
    </w:p>
    <w:p w:rsidR="00261B0C" w:rsidRPr="00AF5902" w:rsidRDefault="00261B0C" w:rsidP="00261B0C">
      <w:pPr>
        <w:rPr>
          <w:lang w:val="en-GB"/>
        </w:rPr>
      </w:pPr>
    </w:p>
    <w:p w:rsidR="00603FF1" w:rsidRPr="00603FF1" w:rsidRDefault="00603FF1" w:rsidP="00603FF1">
      <w:pPr>
        <w:pStyle w:val="Heading1"/>
        <w:rPr>
          <w:rFonts w:ascii="Myriad Pro" w:hAnsi="Myriad Pro"/>
          <w:lang w:val="en-GB"/>
        </w:rPr>
        <w:sectPr w:rsidR="00603FF1" w:rsidRPr="00603FF1" w:rsidSect="004E189D">
          <w:footerReference w:type="default" r:id="rId18"/>
          <w:pgSz w:w="11906" w:h="16838"/>
          <w:pgMar w:top="1440" w:right="1440" w:bottom="993" w:left="1440" w:header="708" w:footer="708" w:gutter="0"/>
          <w:cols w:space="708"/>
          <w:docGrid w:linePitch="360"/>
        </w:sectPr>
      </w:pPr>
      <w:bookmarkStart w:id="121" w:name="_Toc154209193"/>
      <w:bookmarkStart w:id="122" w:name="_Toc178587144"/>
      <w:bookmarkStart w:id="123" w:name="_Toc153888555"/>
      <w:bookmarkStart w:id="124" w:name="_Toc154140550"/>
      <w:bookmarkStart w:id="125" w:name="_Toc154140605"/>
      <w:bookmarkStart w:id="126" w:name="_Toc178675707"/>
      <w:bookmarkStart w:id="127" w:name="_Toc216068358"/>
    </w:p>
    <w:p w:rsidR="00603FF1" w:rsidRPr="00603FF1" w:rsidRDefault="00261B0C" w:rsidP="00603FF1">
      <w:pPr>
        <w:pStyle w:val="Heading1"/>
        <w:jc w:val="left"/>
        <w:rPr>
          <w:color w:val="66CCFF"/>
          <w:lang w:val="en-GB"/>
        </w:rPr>
      </w:pPr>
      <w:r w:rsidRPr="00603FF1">
        <w:rPr>
          <w:color w:val="66CCFF"/>
          <w:sz w:val="36"/>
          <w:szCs w:val="36"/>
        </w:rPr>
        <w:lastRenderedPageBreak/>
        <w:t>VI.</w:t>
      </w:r>
      <w:bookmarkStart w:id="128" w:name="_Toc234729422"/>
      <w:bookmarkStart w:id="129" w:name="_Toc154209196"/>
      <w:bookmarkStart w:id="130" w:name="_Toc178587147"/>
      <w:bookmarkStart w:id="131" w:name="_Toc178675711"/>
      <w:bookmarkStart w:id="132" w:name="_Toc216068361"/>
      <w:bookmarkEnd w:id="121"/>
      <w:bookmarkEnd w:id="122"/>
      <w:bookmarkEnd w:id="123"/>
      <w:bookmarkEnd w:id="124"/>
      <w:bookmarkEnd w:id="125"/>
      <w:bookmarkEnd w:id="126"/>
      <w:bookmarkEnd w:id="127"/>
      <w:r w:rsidR="00603FF1" w:rsidRPr="00603FF1">
        <w:rPr>
          <w:color w:val="66CCFF"/>
          <w:sz w:val="36"/>
          <w:szCs w:val="36"/>
        </w:rPr>
        <w:t xml:space="preserve"> </w:t>
      </w:r>
      <w:r w:rsidR="00603FF1" w:rsidRPr="00603FF1">
        <w:rPr>
          <w:rFonts w:ascii="Myriad Pro" w:hAnsi="Myriad Pro"/>
          <w:color w:val="66CCFF"/>
          <w:sz w:val="30"/>
          <w:szCs w:val="32"/>
        </w:rPr>
        <w:t>Financial Section</w:t>
      </w:r>
      <w:bookmarkEnd w:id="128"/>
      <w:r w:rsidR="00603FF1" w:rsidRPr="00603FF1">
        <w:rPr>
          <w:rFonts w:ascii="Myriad Pro" w:hAnsi="Myriad Pro"/>
          <w:color w:val="66CCFF"/>
        </w:rPr>
        <w:br/>
      </w:r>
    </w:p>
    <w:p w:rsidR="00603FF1" w:rsidRPr="00622736" w:rsidRDefault="00603FF1" w:rsidP="00603FF1">
      <w:pPr>
        <w:rPr>
          <w:i/>
          <w:iCs/>
        </w:rPr>
      </w:pPr>
      <w:r w:rsidRPr="00622736">
        <w:rPr>
          <w:i/>
          <w:iCs/>
        </w:rPr>
        <w:t xml:space="preserve">[Note: All financial data presented in this report are provisional. From </w:t>
      </w:r>
      <w:r w:rsidRPr="00622736">
        <w:rPr>
          <w:rStyle w:val="Emphasis"/>
        </w:rPr>
        <w:t xml:space="preserve">UNDP Bureau of Management/Office of Finance and Administration, an annual certified financial statement as of 31 December will be submitted every year no later than 30 June of the following year.] </w:t>
      </w:r>
    </w:p>
    <w:p w:rsidR="00603FF1" w:rsidRPr="00622736" w:rsidRDefault="00603FF1" w:rsidP="00603FF1">
      <w:pPr>
        <w:pStyle w:val="Heading2"/>
        <w:rPr>
          <w:rFonts w:ascii="Myriad Pro" w:hAnsi="Myriad Pro"/>
        </w:rPr>
      </w:pPr>
      <w:bookmarkStart w:id="133" w:name="_Toc234729423"/>
      <w:r>
        <w:rPr>
          <w:rFonts w:ascii="Myriad Pro" w:hAnsi="Myriad Pro"/>
        </w:rPr>
        <w:t>Table 1:</w:t>
      </w:r>
      <w:r w:rsidRPr="00622736">
        <w:rPr>
          <w:rFonts w:ascii="Myriad Pro" w:hAnsi="Myriad Pro"/>
        </w:rPr>
        <w:t xml:space="preserve"> Funding Overview</w:t>
      </w:r>
      <w:bookmarkEnd w:id="133"/>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45"/>
        <w:gridCol w:w="1981"/>
        <w:gridCol w:w="1988"/>
        <w:gridCol w:w="1701"/>
        <w:gridCol w:w="1202"/>
        <w:gridCol w:w="1967"/>
      </w:tblGrid>
      <w:tr w:rsidR="004E189D" w:rsidRPr="00526BDB" w:rsidTr="00C271E2">
        <w:trPr>
          <w:jc w:val="center"/>
        </w:trPr>
        <w:tc>
          <w:tcPr>
            <w:tcW w:w="845" w:type="dxa"/>
            <w:tcBorders>
              <w:top w:val="single" w:sz="8" w:space="0" w:color="FFFFFF"/>
              <w:left w:val="single" w:sz="8" w:space="0" w:color="FFFFFF"/>
              <w:bottom w:val="single" w:sz="24" w:space="0" w:color="FFFFFF"/>
              <w:right w:val="single" w:sz="8" w:space="0" w:color="FFFFFF"/>
            </w:tcBorders>
            <w:shd w:val="clear" w:color="auto" w:fill="4F81BD"/>
          </w:tcPr>
          <w:p w:rsidR="004E189D" w:rsidRPr="00526BDB" w:rsidRDefault="004E189D" w:rsidP="00C271E2">
            <w:pPr>
              <w:rPr>
                <w:rFonts w:asciiTheme="minorHAnsi" w:hAnsiTheme="minorHAnsi"/>
                <w:color w:val="FFFFFF"/>
                <w:lang w:val="en-GB"/>
              </w:rPr>
            </w:pPr>
            <w:r w:rsidRPr="00526BDB">
              <w:rPr>
                <w:rFonts w:asciiTheme="minorHAnsi" w:hAnsiTheme="minorHAnsi"/>
                <w:b/>
                <w:bCs/>
                <w:color w:val="FFFFFF"/>
                <w:lang w:val="en-GB"/>
              </w:rPr>
              <w:t>Donor</w:t>
            </w:r>
          </w:p>
        </w:tc>
        <w:tc>
          <w:tcPr>
            <w:tcW w:w="1981" w:type="dxa"/>
            <w:tcBorders>
              <w:top w:val="single" w:sz="8" w:space="0" w:color="FFFFFF"/>
              <w:left w:val="single" w:sz="8" w:space="0" w:color="FFFFFF"/>
              <w:bottom w:val="single" w:sz="24" w:space="0" w:color="FFFFFF"/>
              <w:right w:val="single" w:sz="8" w:space="0" w:color="FFFFFF"/>
            </w:tcBorders>
            <w:shd w:val="clear" w:color="auto" w:fill="4F81BD"/>
          </w:tcPr>
          <w:p w:rsidR="004E189D" w:rsidRPr="00526BDB" w:rsidRDefault="004E189D" w:rsidP="00C271E2">
            <w:pPr>
              <w:rPr>
                <w:rFonts w:asciiTheme="minorHAnsi" w:hAnsiTheme="minorHAnsi"/>
                <w:b/>
                <w:bCs/>
                <w:color w:val="FFFFFF"/>
                <w:lang w:val="en-GB"/>
              </w:rPr>
            </w:pPr>
            <w:r w:rsidRPr="00526BDB">
              <w:rPr>
                <w:rFonts w:asciiTheme="minorHAnsi" w:hAnsiTheme="minorHAnsi"/>
                <w:b/>
                <w:bCs/>
                <w:color w:val="FFFFFF"/>
                <w:lang w:val="en-GB"/>
              </w:rPr>
              <w:t>Commitment</w:t>
            </w:r>
          </w:p>
          <w:p w:rsidR="004E189D" w:rsidRPr="00526BDB" w:rsidRDefault="004E189D" w:rsidP="00C271E2">
            <w:pPr>
              <w:rPr>
                <w:rFonts w:asciiTheme="minorHAnsi" w:hAnsiTheme="minorHAnsi"/>
                <w:color w:val="FFFFFF"/>
                <w:lang w:val="en-GB"/>
              </w:rPr>
            </w:pPr>
            <w:r w:rsidRPr="00526BDB">
              <w:rPr>
                <w:rFonts w:asciiTheme="minorHAnsi" w:hAnsiTheme="minorHAnsi"/>
                <w:b/>
                <w:bCs/>
                <w:color w:val="FFFFFF"/>
                <w:lang w:val="en-GB"/>
              </w:rPr>
              <w:t>(Currency of the Agreement)</w:t>
            </w:r>
          </w:p>
        </w:tc>
        <w:tc>
          <w:tcPr>
            <w:tcW w:w="1988" w:type="dxa"/>
            <w:tcBorders>
              <w:top w:val="single" w:sz="8" w:space="0" w:color="FFFFFF"/>
              <w:left w:val="single" w:sz="8" w:space="0" w:color="FFFFFF"/>
              <w:bottom w:val="single" w:sz="24" w:space="0" w:color="FFFFFF"/>
              <w:right w:val="single" w:sz="8" w:space="0" w:color="FFFFFF"/>
            </w:tcBorders>
            <w:shd w:val="clear" w:color="auto" w:fill="4F81BD"/>
          </w:tcPr>
          <w:p w:rsidR="004E189D" w:rsidRPr="00526BDB" w:rsidRDefault="004E189D" w:rsidP="00C271E2">
            <w:pPr>
              <w:rPr>
                <w:rFonts w:asciiTheme="minorHAnsi" w:hAnsiTheme="minorHAnsi"/>
                <w:color w:val="FFFFFF"/>
                <w:lang w:val="en-GB"/>
              </w:rPr>
            </w:pPr>
            <w:r w:rsidRPr="00526BDB">
              <w:rPr>
                <w:rFonts w:asciiTheme="minorHAnsi" w:hAnsiTheme="minorHAnsi"/>
                <w:b/>
                <w:bCs/>
                <w:color w:val="FFFFFF"/>
                <w:lang w:val="en-GB"/>
              </w:rPr>
              <w:t>Received</w:t>
            </w:r>
          </w:p>
          <w:p w:rsidR="004E189D" w:rsidRPr="00526BDB" w:rsidRDefault="004E189D" w:rsidP="00C271E2">
            <w:pPr>
              <w:rPr>
                <w:rFonts w:asciiTheme="minorHAnsi" w:hAnsiTheme="minorHAnsi"/>
                <w:color w:val="FFFFFF"/>
                <w:lang w:val="en-GB"/>
              </w:rPr>
            </w:pPr>
            <w:r w:rsidRPr="00526BDB">
              <w:rPr>
                <w:rFonts w:asciiTheme="minorHAnsi" w:hAnsiTheme="minorHAnsi"/>
                <w:b/>
                <w:bCs/>
                <w:color w:val="FFFFFF"/>
                <w:lang w:val="en-GB"/>
              </w:rPr>
              <w:t>(Currency of the Agreement)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4E189D" w:rsidRPr="00526BDB" w:rsidRDefault="004E189D" w:rsidP="00C271E2">
            <w:pPr>
              <w:rPr>
                <w:rFonts w:asciiTheme="minorHAnsi" w:hAnsiTheme="minorHAnsi"/>
                <w:color w:val="FFFFFF"/>
                <w:lang w:val="en-GB"/>
              </w:rPr>
            </w:pPr>
            <w:r w:rsidRPr="00526BDB">
              <w:rPr>
                <w:rFonts w:asciiTheme="minorHAnsi" w:hAnsiTheme="minorHAnsi"/>
                <w:b/>
                <w:bCs/>
                <w:color w:val="FFFFFF"/>
                <w:lang w:val="en-GB"/>
              </w:rPr>
              <w:t>Received (USD)</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Pr>
          <w:p w:rsidR="004E189D" w:rsidRPr="00526BDB" w:rsidRDefault="004E189D" w:rsidP="00C271E2">
            <w:pPr>
              <w:rPr>
                <w:rFonts w:asciiTheme="minorHAnsi" w:hAnsiTheme="minorHAnsi"/>
                <w:color w:val="FFFFFF"/>
                <w:lang w:val="en-GB"/>
              </w:rPr>
            </w:pPr>
            <w:r w:rsidRPr="00526BDB">
              <w:rPr>
                <w:rFonts w:asciiTheme="minorHAnsi" w:hAnsiTheme="minorHAnsi"/>
                <w:b/>
                <w:bCs/>
                <w:color w:val="FFFFFF"/>
                <w:lang w:val="en-GB"/>
              </w:rPr>
              <w:t>UNORE</w:t>
            </w:r>
          </w:p>
        </w:tc>
        <w:tc>
          <w:tcPr>
            <w:tcW w:w="1967" w:type="dxa"/>
            <w:tcBorders>
              <w:top w:val="single" w:sz="8" w:space="0" w:color="FFFFFF"/>
              <w:left w:val="single" w:sz="8" w:space="0" w:color="FFFFFF"/>
              <w:bottom w:val="single" w:sz="24" w:space="0" w:color="FFFFFF"/>
              <w:right w:val="single" w:sz="8" w:space="0" w:color="FFFFFF"/>
            </w:tcBorders>
            <w:shd w:val="clear" w:color="auto" w:fill="4F81BD"/>
          </w:tcPr>
          <w:p w:rsidR="004E189D" w:rsidRPr="00526BDB" w:rsidRDefault="004E189D" w:rsidP="00C271E2">
            <w:pPr>
              <w:rPr>
                <w:rFonts w:asciiTheme="minorHAnsi" w:hAnsiTheme="minorHAnsi"/>
                <w:color w:val="FFFFFF"/>
                <w:lang w:val="en-GB"/>
              </w:rPr>
            </w:pPr>
            <w:r w:rsidRPr="00526BDB">
              <w:rPr>
                <w:rFonts w:asciiTheme="minorHAnsi" w:hAnsiTheme="minorHAnsi"/>
                <w:b/>
                <w:bCs/>
                <w:color w:val="FFFFFF"/>
                <w:lang w:val="en-GB"/>
              </w:rPr>
              <w:t xml:space="preserve">Balance </w:t>
            </w:r>
            <w:r w:rsidRPr="00526BDB">
              <w:rPr>
                <w:rFonts w:asciiTheme="minorHAnsi" w:hAnsiTheme="minorHAnsi"/>
                <w:b/>
                <w:bCs/>
                <w:color w:val="FFFFFF"/>
                <w:lang w:val="en-GB"/>
              </w:rPr>
              <w:br/>
              <w:t>(Currency of the Agreement)</w:t>
            </w:r>
          </w:p>
        </w:tc>
      </w:tr>
      <w:tr w:rsidR="004E189D" w:rsidRPr="00526BDB" w:rsidTr="00C271E2">
        <w:trPr>
          <w:trHeight w:val="408"/>
          <w:jc w:val="center"/>
        </w:trPr>
        <w:tc>
          <w:tcPr>
            <w:tcW w:w="845" w:type="dxa"/>
            <w:tcBorders>
              <w:top w:val="single" w:sz="8" w:space="0" w:color="FFFFFF"/>
              <w:left w:val="single" w:sz="8" w:space="0" w:color="FFFFFF"/>
              <w:right w:val="single" w:sz="24" w:space="0" w:color="FFFFFF"/>
            </w:tcBorders>
            <w:shd w:val="clear" w:color="auto" w:fill="4F81BD"/>
          </w:tcPr>
          <w:p w:rsidR="004E189D" w:rsidRPr="00526BDB" w:rsidRDefault="004E189D" w:rsidP="00C271E2">
            <w:pPr>
              <w:rPr>
                <w:rFonts w:asciiTheme="minorHAnsi" w:hAnsiTheme="minorHAnsi"/>
                <w:b/>
                <w:bCs/>
                <w:color w:val="FFFFFF"/>
                <w:lang w:val="en-GB"/>
              </w:rPr>
            </w:pPr>
            <w:r w:rsidRPr="00526BDB">
              <w:rPr>
                <w:rFonts w:asciiTheme="minorHAnsi" w:hAnsiTheme="minorHAnsi"/>
                <w:b/>
                <w:bCs/>
                <w:color w:val="FFFFFF"/>
                <w:lang w:val="en-GB"/>
              </w:rPr>
              <w:t>TRAC</w:t>
            </w:r>
          </w:p>
        </w:tc>
        <w:tc>
          <w:tcPr>
            <w:tcW w:w="1981" w:type="dxa"/>
            <w:tcBorders>
              <w:top w:val="single" w:sz="8" w:space="0" w:color="FFFFFF"/>
              <w:left w:val="single" w:sz="8" w:space="0" w:color="FFFFFF"/>
              <w:bottom w:val="single" w:sz="8" w:space="0" w:color="FFFFFF"/>
              <w:right w:val="single" w:sz="8" w:space="0" w:color="FFFFFF"/>
            </w:tcBorders>
            <w:shd w:val="clear" w:color="auto" w:fill="A7BFDE"/>
          </w:tcPr>
          <w:p w:rsidR="004E189D" w:rsidRPr="00526BDB" w:rsidRDefault="004E189D" w:rsidP="00C271E2">
            <w:pPr>
              <w:jc w:val="right"/>
              <w:rPr>
                <w:rFonts w:asciiTheme="minorHAnsi" w:hAnsiTheme="minorHAnsi"/>
                <w:bCs/>
                <w:sz w:val="20"/>
                <w:szCs w:val="20"/>
                <w:lang w:val="en-GB"/>
              </w:rPr>
            </w:pPr>
            <w:r w:rsidRPr="00E60167">
              <w:rPr>
                <w:rFonts w:asciiTheme="minorHAnsi" w:hAnsiTheme="minorHAnsi"/>
                <w:bCs/>
                <w:sz w:val="20"/>
                <w:szCs w:val="20"/>
                <w:lang w:val="en-GB"/>
              </w:rPr>
              <w:t>708</w:t>
            </w:r>
            <w:r>
              <w:rPr>
                <w:rFonts w:asciiTheme="minorHAnsi" w:hAnsiTheme="minorHAnsi"/>
                <w:bCs/>
                <w:sz w:val="20"/>
                <w:szCs w:val="20"/>
                <w:lang w:val="en-GB"/>
              </w:rPr>
              <w:t>,</w:t>
            </w:r>
            <w:r w:rsidRPr="00E60167">
              <w:rPr>
                <w:rFonts w:asciiTheme="minorHAnsi" w:hAnsiTheme="minorHAnsi"/>
                <w:bCs/>
                <w:sz w:val="20"/>
                <w:szCs w:val="20"/>
                <w:lang w:val="en-GB"/>
              </w:rPr>
              <w:t>219</w:t>
            </w:r>
          </w:p>
        </w:tc>
        <w:tc>
          <w:tcPr>
            <w:tcW w:w="1988" w:type="dxa"/>
            <w:tcBorders>
              <w:top w:val="single" w:sz="8" w:space="0" w:color="FFFFFF"/>
              <w:left w:val="single" w:sz="8" w:space="0" w:color="FFFFFF"/>
              <w:right w:val="single" w:sz="8" w:space="0" w:color="FFFFFF"/>
            </w:tcBorders>
            <w:shd w:val="clear" w:color="auto" w:fill="A7BFDE"/>
          </w:tcPr>
          <w:p w:rsidR="004E189D" w:rsidRPr="00526BDB" w:rsidRDefault="004E189D" w:rsidP="00C271E2">
            <w:pPr>
              <w:jc w:val="right"/>
              <w:rPr>
                <w:rFonts w:asciiTheme="minorHAnsi" w:hAnsiTheme="minorHAnsi"/>
                <w:bCs/>
                <w:sz w:val="20"/>
                <w:szCs w:val="20"/>
                <w:lang w:val="en-GB"/>
              </w:rPr>
            </w:pPr>
            <w:r w:rsidRPr="00E60167">
              <w:rPr>
                <w:rFonts w:asciiTheme="minorHAnsi" w:hAnsiTheme="minorHAnsi"/>
                <w:bCs/>
                <w:sz w:val="20"/>
                <w:szCs w:val="20"/>
                <w:lang w:val="en-GB"/>
              </w:rPr>
              <w:t>708</w:t>
            </w:r>
            <w:r>
              <w:rPr>
                <w:rFonts w:asciiTheme="minorHAnsi" w:hAnsiTheme="minorHAnsi"/>
                <w:bCs/>
                <w:sz w:val="20"/>
                <w:szCs w:val="20"/>
                <w:lang w:val="en-GB"/>
              </w:rPr>
              <w:t>,</w:t>
            </w:r>
            <w:r w:rsidRPr="00E60167">
              <w:rPr>
                <w:rFonts w:asciiTheme="minorHAnsi" w:hAnsiTheme="minorHAnsi"/>
                <w:bCs/>
                <w:sz w:val="20"/>
                <w:szCs w:val="20"/>
                <w:lang w:val="en-GB"/>
              </w:rPr>
              <w:t>219</w:t>
            </w:r>
          </w:p>
        </w:tc>
        <w:tc>
          <w:tcPr>
            <w:tcW w:w="1701" w:type="dxa"/>
            <w:tcBorders>
              <w:top w:val="single" w:sz="8" w:space="0" w:color="FFFFFF"/>
              <w:left w:val="single" w:sz="8" w:space="0" w:color="FFFFFF"/>
              <w:right w:val="single" w:sz="8" w:space="0" w:color="FFFFFF"/>
            </w:tcBorders>
            <w:shd w:val="clear" w:color="auto" w:fill="A7BFDE"/>
          </w:tcPr>
          <w:p w:rsidR="004E189D" w:rsidRPr="00526BDB" w:rsidRDefault="004E189D" w:rsidP="00C271E2">
            <w:pPr>
              <w:jc w:val="right"/>
              <w:rPr>
                <w:rFonts w:asciiTheme="minorHAnsi" w:hAnsiTheme="minorHAnsi"/>
                <w:bCs/>
                <w:sz w:val="20"/>
                <w:szCs w:val="20"/>
                <w:lang w:val="en-GB"/>
              </w:rPr>
            </w:pPr>
            <w:r w:rsidRPr="00E60167">
              <w:rPr>
                <w:rFonts w:asciiTheme="minorHAnsi" w:hAnsiTheme="minorHAnsi"/>
                <w:bCs/>
                <w:sz w:val="20"/>
                <w:szCs w:val="20"/>
                <w:lang w:val="en-GB"/>
              </w:rPr>
              <w:t>708</w:t>
            </w:r>
            <w:r>
              <w:rPr>
                <w:rFonts w:asciiTheme="minorHAnsi" w:hAnsiTheme="minorHAnsi"/>
                <w:bCs/>
                <w:sz w:val="20"/>
                <w:szCs w:val="20"/>
                <w:lang w:val="en-GB"/>
              </w:rPr>
              <w:t>,</w:t>
            </w:r>
            <w:r w:rsidRPr="00E60167">
              <w:rPr>
                <w:rFonts w:asciiTheme="minorHAnsi" w:hAnsiTheme="minorHAnsi"/>
                <w:bCs/>
                <w:sz w:val="20"/>
                <w:szCs w:val="20"/>
                <w:lang w:val="en-GB"/>
              </w:rPr>
              <w:t>219</w:t>
            </w:r>
          </w:p>
        </w:tc>
        <w:tc>
          <w:tcPr>
            <w:tcW w:w="1202" w:type="dxa"/>
            <w:tcBorders>
              <w:top w:val="single" w:sz="8" w:space="0" w:color="FFFFFF"/>
              <w:left w:val="single" w:sz="8" w:space="0" w:color="FFFFFF"/>
              <w:right w:val="single" w:sz="8" w:space="0" w:color="FFFFFF"/>
            </w:tcBorders>
            <w:shd w:val="clear" w:color="auto" w:fill="A7BFDE"/>
          </w:tcPr>
          <w:p w:rsidR="004E189D" w:rsidRPr="00526BDB" w:rsidRDefault="004E189D" w:rsidP="00C271E2">
            <w:pPr>
              <w:rPr>
                <w:rFonts w:asciiTheme="minorHAnsi" w:hAnsiTheme="minorHAnsi"/>
                <w:lang w:val="en-GB"/>
              </w:rPr>
            </w:pPr>
            <w:r w:rsidRPr="00526BDB">
              <w:rPr>
                <w:rFonts w:asciiTheme="minorHAnsi" w:hAnsiTheme="minorHAnsi"/>
                <w:lang w:val="en-GB"/>
              </w:rPr>
              <w:t>-</w:t>
            </w:r>
          </w:p>
        </w:tc>
        <w:tc>
          <w:tcPr>
            <w:tcW w:w="1967" w:type="dxa"/>
            <w:tcBorders>
              <w:top w:val="single" w:sz="8" w:space="0" w:color="FFFFFF"/>
              <w:left w:val="single" w:sz="8" w:space="0" w:color="FFFFFF"/>
              <w:bottom w:val="single" w:sz="8" w:space="0" w:color="FFFFFF"/>
              <w:right w:val="single" w:sz="8" w:space="0" w:color="FFFFFF"/>
            </w:tcBorders>
            <w:shd w:val="clear" w:color="auto" w:fill="A7BFDE"/>
          </w:tcPr>
          <w:p w:rsidR="004E189D" w:rsidRPr="00526BDB" w:rsidRDefault="004E189D" w:rsidP="00C271E2">
            <w:pPr>
              <w:rPr>
                <w:rFonts w:asciiTheme="minorHAnsi" w:hAnsiTheme="minorHAnsi"/>
                <w:lang w:val="en-GB"/>
              </w:rPr>
            </w:pPr>
            <w:r w:rsidRPr="00526BDB">
              <w:rPr>
                <w:rFonts w:asciiTheme="minorHAnsi" w:hAnsiTheme="minorHAnsi"/>
                <w:lang w:val="en-GB"/>
              </w:rPr>
              <w:t>-</w:t>
            </w:r>
          </w:p>
        </w:tc>
      </w:tr>
      <w:tr w:rsidR="004E189D" w:rsidRPr="00526BDB" w:rsidTr="00C271E2">
        <w:trPr>
          <w:jc w:val="center"/>
        </w:trPr>
        <w:tc>
          <w:tcPr>
            <w:tcW w:w="845" w:type="dxa"/>
            <w:tcBorders>
              <w:top w:val="single" w:sz="8" w:space="0" w:color="FFFFFF"/>
              <w:left w:val="single" w:sz="8" w:space="0" w:color="FFFFFF"/>
              <w:right w:val="single" w:sz="24" w:space="0" w:color="FFFFFF"/>
            </w:tcBorders>
            <w:shd w:val="clear" w:color="auto" w:fill="4F81BD"/>
          </w:tcPr>
          <w:p w:rsidR="004E189D" w:rsidRPr="00526BDB" w:rsidRDefault="004E189D" w:rsidP="00C271E2">
            <w:pPr>
              <w:rPr>
                <w:rFonts w:asciiTheme="minorHAnsi" w:hAnsiTheme="minorHAnsi"/>
                <w:b/>
                <w:bCs/>
                <w:color w:val="FFFFFF"/>
                <w:lang w:val="en-GB"/>
              </w:rPr>
            </w:pPr>
            <w:r w:rsidRPr="00526BDB">
              <w:rPr>
                <w:rFonts w:asciiTheme="minorHAnsi" w:hAnsiTheme="minorHAnsi"/>
                <w:b/>
                <w:bCs/>
                <w:color w:val="FFFFFF"/>
                <w:lang w:val="en-GB"/>
              </w:rPr>
              <w:t>11888</w:t>
            </w:r>
          </w:p>
        </w:tc>
        <w:tc>
          <w:tcPr>
            <w:tcW w:w="1981" w:type="dxa"/>
            <w:tcBorders>
              <w:top w:val="single" w:sz="8" w:space="0" w:color="FFFFFF"/>
              <w:left w:val="single" w:sz="8" w:space="0" w:color="FFFFFF"/>
              <w:bottom w:val="single" w:sz="8" w:space="0" w:color="FFFFFF"/>
              <w:right w:val="single" w:sz="8" w:space="0" w:color="FFFFFF"/>
            </w:tcBorders>
            <w:shd w:val="clear" w:color="auto" w:fill="B6DDE8"/>
          </w:tcPr>
          <w:p w:rsidR="004E189D" w:rsidRPr="00526BDB" w:rsidRDefault="004E189D" w:rsidP="00C271E2">
            <w:pPr>
              <w:jc w:val="right"/>
              <w:rPr>
                <w:rFonts w:asciiTheme="minorHAnsi" w:hAnsiTheme="minorHAnsi"/>
                <w:lang w:val="en-GB"/>
              </w:rPr>
            </w:pPr>
            <w:r w:rsidRPr="00526BDB">
              <w:rPr>
                <w:rFonts w:asciiTheme="minorHAnsi" w:hAnsiTheme="minorHAnsi"/>
                <w:bCs/>
                <w:sz w:val="20"/>
                <w:szCs w:val="20"/>
                <w:lang w:val="en-GB"/>
              </w:rPr>
              <w:t>390,000</w:t>
            </w:r>
          </w:p>
        </w:tc>
        <w:tc>
          <w:tcPr>
            <w:tcW w:w="1988" w:type="dxa"/>
            <w:tcBorders>
              <w:top w:val="single" w:sz="8" w:space="0" w:color="FFFFFF"/>
              <w:left w:val="single" w:sz="8" w:space="0" w:color="FFFFFF"/>
              <w:bottom w:val="single" w:sz="8" w:space="0" w:color="FFFFFF"/>
              <w:right w:val="single" w:sz="8" w:space="0" w:color="FFFFFF"/>
            </w:tcBorders>
            <w:shd w:val="clear" w:color="auto" w:fill="B6DDE8"/>
          </w:tcPr>
          <w:p w:rsidR="004E189D" w:rsidRPr="00526BDB" w:rsidRDefault="004E189D" w:rsidP="00C271E2">
            <w:pPr>
              <w:jc w:val="right"/>
              <w:rPr>
                <w:rFonts w:asciiTheme="minorHAnsi" w:hAnsiTheme="minorHAnsi"/>
                <w:lang w:val="en-GB"/>
              </w:rPr>
            </w:pPr>
            <w:r w:rsidRPr="00526BDB">
              <w:rPr>
                <w:rFonts w:asciiTheme="minorHAnsi" w:hAnsiTheme="minorHAnsi"/>
                <w:bCs/>
                <w:sz w:val="20"/>
                <w:szCs w:val="20"/>
                <w:lang w:val="en-GB"/>
              </w:rPr>
              <w:t>390,000</w:t>
            </w:r>
          </w:p>
        </w:tc>
        <w:tc>
          <w:tcPr>
            <w:tcW w:w="1701" w:type="dxa"/>
            <w:tcBorders>
              <w:top w:val="single" w:sz="8" w:space="0" w:color="FFFFFF"/>
              <w:left w:val="single" w:sz="8" w:space="0" w:color="FFFFFF"/>
              <w:bottom w:val="single" w:sz="8" w:space="0" w:color="FFFFFF"/>
              <w:right w:val="single" w:sz="8" w:space="0" w:color="FFFFFF"/>
            </w:tcBorders>
            <w:shd w:val="clear" w:color="auto" w:fill="B6DDE8"/>
          </w:tcPr>
          <w:p w:rsidR="004E189D" w:rsidRPr="00526BDB" w:rsidRDefault="004E189D" w:rsidP="00C271E2">
            <w:pPr>
              <w:jc w:val="right"/>
              <w:rPr>
                <w:rFonts w:asciiTheme="minorHAnsi" w:hAnsiTheme="minorHAnsi"/>
                <w:lang w:val="en-GB"/>
              </w:rPr>
            </w:pPr>
            <w:r w:rsidRPr="00526BDB">
              <w:rPr>
                <w:rFonts w:asciiTheme="minorHAnsi" w:hAnsiTheme="minorHAnsi"/>
                <w:bCs/>
                <w:sz w:val="20"/>
                <w:szCs w:val="20"/>
                <w:lang w:val="en-GB"/>
              </w:rPr>
              <w:t>390,000</w:t>
            </w:r>
          </w:p>
        </w:tc>
        <w:tc>
          <w:tcPr>
            <w:tcW w:w="1202" w:type="dxa"/>
            <w:tcBorders>
              <w:top w:val="single" w:sz="8" w:space="0" w:color="FFFFFF"/>
              <w:left w:val="single" w:sz="8" w:space="0" w:color="FFFFFF"/>
              <w:bottom w:val="single" w:sz="8" w:space="0" w:color="FFFFFF"/>
              <w:right w:val="single" w:sz="8" w:space="0" w:color="FFFFFF"/>
            </w:tcBorders>
            <w:shd w:val="clear" w:color="auto" w:fill="B6DDE8"/>
          </w:tcPr>
          <w:p w:rsidR="004E189D" w:rsidRPr="00526BDB" w:rsidRDefault="004E189D" w:rsidP="00C271E2">
            <w:pPr>
              <w:rPr>
                <w:rFonts w:asciiTheme="minorHAnsi" w:hAnsiTheme="minorHAnsi"/>
                <w:lang w:val="en-GB"/>
              </w:rPr>
            </w:pPr>
            <w:r w:rsidRPr="00526BDB">
              <w:rPr>
                <w:rFonts w:asciiTheme="minorHAnsi" w:hAnsiTheme="minorHAnsi"/>
                <w:lang w:val="en-GB"/>
              </w:rPr>
              <w:t>-</w:t>
            </w:r>
          </w:p>
        </w:tc>
        <w:tc>
          <w:tcPr>
            <w:tcW w:w="1967" w:type="dxa"/>
            <w:tcBorders>
              <w:top w:val="single" w:sz="8" w:space="0" w:color="FFFFFF"/>
              <w:left w:val="single" w:sz="8" w:space="0" w:color="FFFFFF"/>
              <w:bottom w:val="single" w:sz="8" w:space="0" w:color="FFFFFF"/>
              <w:right w:val="single" w:sz="8" w:space="0" w:color="FFFFFF"/>
            </w:tcBorders>
            <w:shd w:val="clear" w:color="auto" w:fill="B6DDE8"/>
          </w:tcPr>
          <w:p w:rsidR="004E189D" w:rsidRPr="00526BDB" w:rsidRDefault="004E189D" w:rsidP="00C271E2">
            <w:pPr>
              <w:rPr>
                <w:rFonts w:asciiTheme="minorHAnsi" w:hAnsiTheme="minorHAnsi"/>
                <w:lang w:val="en-GB"/>
              </w:rPr>
            </w:pPr>
            <w:r w:rsidRPr="00526BDB">
              <w:rPr>
                <w:rFonts w:asciiTheme="minorHAnsi" w:hAnsiTheme="minorHAnsi"/>
                <w:lang w:val="en-GB"/>
              </w:rPr>
              <w:t>-</w:t>
            </w:r>
          </w:p>
        </w:tc>
      </w:tr>
      <w:tr w:rsidR="004E189D" w:rsidRPr="00526BDB" w:rsidTr="00C271E2">
        <w:trPr>
          <w:jc w:val="center"/>
        </w:trPr>
        <w:tc>
          <w:tcPr>
            <w:tcW w:w="845" w:type="dxa"/>
            <w:tcBorders>
              <w:left w:val="single" w:sz="8" w:space="0" w:color="FFFFFF"/>
              <w:right w:val="single" w:sz="24" w:space="0" w:color="FFFFFF"/>
            </w:tcBorders>
            <w:shd w:val="clear" w:color="auto" w:fill="4F81BD"/>
          </w:tcPr>
          <w:p w:rsidR="004E189D" w:rsidRPr="00526BDB" w:rsidRDefault="004E189D" w:rsidP="00C271E2">
            <w:pPr>
              <w:rPr>
                <w:rFonts w:asciiTheme="minorHAnsi" w:hAnsiTheme="minorHAnsi"/>
                <w:b/>
                <w:bCs/>
                <w:color w:val="FFFFFF"/>
                <w:lang w:val="en-GB"/>
              </w:rPr>
            </w:pPr>
            <w:r w:rsidRPr="00526BDB">
              <w:rPr>
                <w:rFonts w:asciiTheme="minorHAnsi" w:hAnsiTheme="minorHAnsi"/>
                <w:b/>
                <w:bCs/>
                <w:color w:val="FFFFFF"/>
                <w:lang w:val="en-GB"/>
              </w:rPr>
              <w:t>Total</w:t>
            </w:r>
          </w:p>
        </w:tc>
        <w:tc>
          <w:tcPr>
            <w:tcW w:w="1981" w:type="dxa"/>
            <w:shd w:val="clear" w:color="auto" w:fill="92CDDC"/>
          </w:tcPr>
          <w:p w:rsidR="004E189D" w:rsidRPr="00526BDB" w:rsidRDefault="004E189D" w:rsidP="00C271E2">
            <w:pPr>
              <w:jc w:val="right"/>
              <w:rPr>
                <w:rFonts w:asciiTheme="minorHAnsi" w:hAnsiTheme="minorHAnsi"/>
                <w:bCs/>
                <w:sz w:val="20"/>
                <w:szCs w:val="20"/>
                <w:lang w:val="en-GB"/>
              </w:rPr>
            </w:pPr>
            <w:r>
              <w:rPr>
                <w:rFonts w:asciiTheme="minorHAnsi" w:hAnsiTheme="minorHAnsi"/>
                <w:color w:val="000000"/>
              </w:rPr>
              <w:t>1,098,219</w:t>
            </w:r>
          </w:p>
        </w:tc>
        <w:tc>
          <w:tcPr>
            <w:tcW w:w="1988" w:type="dxa"/>
            <w:shd w:val="clear" w:color="auto" w:fill="92CDDC"/>
          </w:tcPr>
          <w:p w:rsidR="004E189D" w:rsidRPr="00526BDB" w:rsidRDefault="004E189D" w:rsidP="00C271E2">
            <w:pPr>
              <w:jc w:val="right"/>
              <w:rPr>
                <w:rFonts w:asciiTheme="minorHAnsi" w:hAnsiTheme="minorHAnsi"/>
                <w:bCs/>
                <w:sz w:val="20"/>
                <w:szCs w:val="20"/>
                <w:lang w:val="en-GB"/>
              </w:rPr>
            </w:pPr>
            <w:r>
              <w:rPr>
                <w:rFonts w:asciiTheme="minorHAnsi" w:hAnsiTheme="minorHAnsi"/>
                <w:color w:val="000000"/>
              </w:rPr>
              <w:t>1,098,219</w:t>
            </w:r>
          </w:p>
          <w:p w:rsidR="004E189D" w:rsidRPr="00526BDB" w:rsidRDefault="004E189D" w:rsidP="00C271E2">
            <w:pPr>
              <w:jc w:val="right"/>
              <w:rPr>
                <w:rFonts w:asciiTheme="minorHAnsi" w:hAnsiTheme="minorHAnsi"/>
                <w:bCs/>
                <w:sz w:val="20"/>
                <w:szCs w:val="20"/>
                <w:lang w:val="en-GB"/>
              </w:rPr>
            </w:pPr>
          </w:p>
        </w:tc>
        <w:tc>
          <w:tcPr>
            <w:tcW w:w="1701" w:type="dxa"/>
            <w:shd w:val="clear" w:color="auto" w:fill="92CDDC"/>
          </w:tcPr>
          <w:p w:rsidR="004E189D" w:rsidRPr="00526BDB" w:rsidRDefault="004E189D" w:rsidP="00C271E2">
            <w:pPr>
              <w:jc w:val="right"/>
              <w:rPr>
                <w:rFonts w:asciiTheme="minorHAnsi" w:hAnsiTheme="minorHAnsi"/>
                <w:bCs/>
                <w:sz w:val="20"/>
                <w:szCs w:val="20"/>
                <w:lang w:val="en-GB"/>
              </w:rPr>
            </w:pPr>
            <w:r>
              <w:rPr>
                <w:rFonts w:asciiTheme="minorHAnsi" w:hAnsiTheme="minorHAnsi"/>
                <w:color w:val="000000"/>
              </w:rPr>
              <w:t>1,098,219</w:t>
            </w:r>
          </w:p>
        </w:tc>
        <w:tc>
          <w:tcPr>
            <w:tcW w:w="1202" w:type="dxa"/>
            <w:shd w:val="clear" w:color="auto" w:fill="92CDDC"/>
          </w:tcPr>
          <w:p w:rsidR="004E189D" w:rsidRPr="00526BDB" w:rsidRDefault="004E189D" w:rsidP="00C271E2">
            <w:pPr>
              <w:jc w:val="right"/>
              <w:rPr>
                <w:rFonts w:asciiTheme="minorHAnsi" w:hAnsiTheme="minorHAnsi"/>
                <w:bCs/>
                <w:sz w:val="20"/>
                <w:szCs w:val="20"/>
                <w:lang w:val="en-GB"/>
              </w:rPr>
            </w:pPr>
          </w:p>
        </w:tc>
        <w:tc>
          <w:tcPr>
            <w:tcW w:w="1967" w:type="dxa"/>
            <w:shd w:val="clear" w:color="auto" w:fill="92CDDC"/>
          </w:tcPr>
          <w:p w:rsidR="004E189D" w:rsidRPr="00526BDB" w:rsidRDefault="004E189D" w:rsidP="00C271E2">
            <w:pPr>
              <w:jc w:val="right"/>
              <w:rPr>
                <w:rFonts w:asciiTheme="minorHAnsi" w:hAnsiTheme="minorHAnsi"/>
                <w:bCs/>
                <w:sz w:val="20"/>
                <w:szCs w:val="20"/>
                <w:lang w:val="en-GB"/>
              </w:rPr>
            </w:pPr>
          </w:p>
        </w:tc>
      </w:tr>
    </w:tbl>
    <w:p w:rsidR="00603FF1" w:rsidRPr="00622736" w:rsidRDefault="00603FF1" w:rsidP="00603FF1"/>
    <w:p w:rsidR="008A0445" w:rsidRPr="00622736" w:rsidRDefault="008A0445" w:rsidP="008A0445">
      <w:r w:rsidRPr="00622736">
        <w:t xml:space="preserve">The table on funding overview will cover funding since inception of the project, and will include only those contributions for which legal basis i.e. agreement/ letters exchange, exist.   </w:t>
      </w:r>
      <w:r w:rsidRPr="00622736">
        <w:rPr>
          <w:u w:val="single"/>
        </w:rPr>
        <w:t>Column 1</w:t>
      </w:r>
      <w:r w:rsidRPr="00622736">
        <w:t xml:space="preserve">:  will include the name of the donor, with a new adjacent cell created for every different agreement signed with the same donor.  </w:t>
      </w:r>
      <w:r w:rsidRPr="00622736">
        <w:rPr>
          <w:u w:val="single"/>
        </w:rPr>
        <w:t>Column 2</w:t>
      </w:r>
      <w:r w:rsidRPr="00622736">
        <w:t xml:space="preserve">, commitment, will include the amount of the commitment as stated in the agreement in the same currency as in the agreement.  </w:t>
      </w:r>
      <w:r w:rsidRPr="00FF5B2E">
        <w:rPr>
          <w:u w:val="single"/>
        </w:rPr>
        <w:t>Column 3</w:t>
      </w:r>
      <w:r w:rsidRPr="00622736">
        <w:t>: shows the amount of the money received against every commitment. If the currency in the agreement is denominated in USD</w:t>
      </w:r>
      <w:r>
        <w:t>,</w:t>
      </w:r>
      <w:r w:rsidRPr="00622736">
        <w:t xml:space="preserve"> this slot can be left blank.  </w:t>
      </w:r>
      <w:r w:rsidRPr="00FF5B2E">
        <w:rPr>
          <w:u w:val="single"/>
        </w:rPr>
        <w:t>Column 4</w:t>
      </w:r>
      <w:r w:rsidRPr="00622736">
        <w:t xml:space="preserve">: provides for the US equivalent of the received amount of the local currency, with </w:t>
      </w:r>
      <w:r>
        <w:rPr>
          <w:u w:val="single"/>
        </w:rPr>
        <w:t>Column 5</w:t>
      </w:r>
      <w:r w:rsidRPr="00622736">
        <w:t xml:space="preserve">: providing the United Nations Operational Rate of Exchange at the date of the receipt of funds. </w:t>
      </w:r>
      <w:r>
        <w:rPr>
          <w:u w:val="single"/>
        </w:rPr>
        <w:t>Column 6</w:t>
      </w:r>
      <w:r w:rsidRPr="00622736">
        <w:t>: provides for the balance</w:t>
      </w:r>
      <w:r>
        <w:t xml:space="preserve"> </w:t>
      </w:r>
      <w:r w:rsidRPr="00622736">
        <w:t>of the contribution expected to be received from the donor.  This is arrived at through subtraction of total receive</w:t>
      </w:r>
      <w:r>
        <w:t>d amount from the commitments.</w:t>
      </w:r>
    </w:p>
    <w:p w:rsidR="00603FF1" w:rsidRDefault="00603FF1" w:rsidP="00603FF1"/>
    <w:p w:rsidR="00603FF1" w:rsidRDefault="00603FF1" w:rsidP="00603FF1"/>
    <w:p w:rsidR="00603FF1" w:rsidRDefault="00603FF1" w:rsidP="00603FF1"/>
    <w:p w:rsidR="00603FF1" w:rsidRDefault="00603FF1" w:rsidP="00603FF1"/>
    <w:p w:rsidR="00603FF1" w:rsidRDefault="00603FF1" w:rsidP="00603FF1"/>
    <w:p w:rsidR="00603FF1" w:rsidRDefault="00603FF1" w:rsidP="00603FF1"/>
    <w:p w:rsidR="00603FF1" w:rsidRPr="00622736" w:rsidRDefault="00603FF1" w:rsidP="00603FF1"/>
    <w:p w:rsidR="00603FF1" w:rsidRPr="00622736" w:rsidRDefault="00603FF1" w:rsidP="00603FF1">
      <w:pPr>
        <w:pStyle w:val="Heading2"/>
        <w:rPr>
          <w:rFonts w:ascii="Myriad Pro" w:hAnsi="Myriad Pro"/>
        </w:rPr>
      </w:pPr>
      <w:bookmarkStart w:id="134" w:name="_Toc234729424"/>
      <w:r w:rsidRPr="00622736">
        <w:rPr>
          <w:rFonts w:ascii="Myriad Pro" w:hAnsi="Myriad Pro"/>
        </w:rPr>
        <w:lastRenderedPageBreak/>
        <w:t xml:space="preserve">Table 2: </w:t>
      </w:r>
      <w:r w:rsidR="004E189D">
        <w:rPr>
          <w:rFonts w:ascii="Myriad Pro" w:hAnsi="Myriad Pro"/>
        </w:rPr>
        <w:t xml:space="preserve">2014 </w:t>
      </w:r>
      <w:r w:rsidRPr="00622736">
        <w:rPr>
          <w:rFonts w:ascii="Myriad Pro" w:hAnsi="Myriad Pro"/>
        </w:rPr>
        <w:t>Expenditure Status (by activity)</w:t>
      </w:r>
      <w:bookmarkEnd w:id="134"/>
    </w:p>
    <w:tbl>
      <w:tblPr>
        <w:tblW w:w="14504"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7"/>
        <w:gridCol w:w="1277"/>
        <w:gridCol w:w="997"/>
        <w:gridCol w:w="1445"/>
        <w:gridCol w:w="1529"/>
        <w:gridCol w:w="1445"/>
        <w:gridCol w:w="1506"/>
        <w:gridCol w:w="1425"/>
        <w:gridCol w:w="1425"/>
        <w:gridCol w:w="986"/>
        <w:gridCol w:w="1192"/>
      </w:tblGrid>
      <w:tr w:rsidR="00603FF1" w:rsidRPr="00622736" w:rsidTr="000D3DA4">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color w:val="FFFFFF"/>
              </w:rPr>
            </w:pPr>
            <w:r w:rsidRPr="00622736">
              <w:rPr>
                <w:b/>
                <w:bCs/>
                <w:color w:val="FFFFFF"/>
              </w:rPr>
              <w:t>Activity</w:t>
            </w:r>
          </w:p>
        </w:tc>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b/>
                <w:bCs/>
                <w:color w:val="FFFFFF"/>
              </w:rPr>
            </w:pPr>
            <w:r w:rsidRPr="00622736">
              <w:rPr>
                <w:b/>
                <w:bCs/>
                <w:color w:val="FFFFFF"/>
              </w:rPr>
              <w:t xml:space="preserve">Budget </w:t>
            </w: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color w:val="FFFFFF"/>
              </w:rPr>
            </w:pPr>
            <w:r w:rsidRPr="00622736">
              <w:rPr>
                <w:b/>
                <w:bCs/>
                <w:color w:val="FFFFFF"/>
              </w:rPr>
              <w:t>(A)</w:t>
            </w:r>
          </w:p>
        </w:tc>
        <w:tc>
          <w:tcPr>
            <w:tcW w:w="99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color w:val="FFFFFF"/>
              </w:rPr>
            </w:pPr>
            <w:r w:rsidRPr="00622736">
              <w:rPr>
                <w:b/>
                <w:bCs/>
                <w:color w:val="FFFFFF"/>
              </w:rPr>
              <w:t>Donor</w:t>
            </w:r>
          </w:p>
        </w:tc>
        <w:tc>
          <w:tcPr>
            <w:tcW w:w="2974"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9B6317">
            <w:pPr>
              <w:jc w:val="center"/>
              <w:rPr>
                <w:color w:val="FFFFFF"/>
              </w:rPr>
            </w:pPr>
            <w:r w:rsidRPr="00622736">
              <w:rPr>
                <w:b/>
                <w:bCs/>
                <w:color w:val="FFFFFF"/>
              </w:rPr>
              <w:t>Cumulative Expenditure Status at</w:t>
            </w:r>
            <w:r w:rsidRPr="00622736">
              <w:rPr>
                <w:b/>
                <w:bCs/>
                <w:color w:val="FFFFFF"/>
              </w:rPr>
              <w:br/>
              <w:t>[</w:t>
            </w:r>
            <w:proofErr w:type="spellStart"/>
            <w:r w:rsidRPr="00622736">
              <w:rPr>
                <w:b/>
                <w:bCs/>
                <w:color w:val="FFFFFF"/>
              </w:rPr>
              <w:t>Date,i.e</w:t>
            </w:r>
            <w:proofErr w:type="spellEnd"/>
            <w:r w:rsidRPr="00622736">
              <w:rPr>
                <w:b/>
                <w:bCs/>
                <w:color w:val="FFFFFF"/>
              </w:rPr>
              <w:t xml:space="preserve">. end of preceding </w:t>
            </w:r>
            <w:r w:rsidR="009B6317">
              <w:rPr>
                <w:b/>
                <w:bCs/>
                <w:color w:val="FFFFFF"/>
              </w:rPr>
              <w:t>year</w:t>
            </w:r>
            <w:r w:rsidRPr="00622736">
              <w:rPr>
                <w:b/>
                <w:bCs/>
                <w:color w:val="FFFFFF"/>
              </w:rPr>
              <w:t>]</w:t>
            </w:r>
          </w:p>
        </w:tc>
        <w:tc>
          <w:tcPr>
            <w:tcW w:w="2951"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9B6317">
            <w:pPr>
              <w:jc w:val="center"/>
              <w:rPr>
                <w:color w:val="FFFFFF"/>
              </w:rPr>
            </w:pPr>
            <w:r w:rsidRPr="00622736">
              <w:rPr>
                <w:b/>
                <w:bCs/>
                <w:color w:val="FFFFFF"/>
              </w:rPr>
              <w:t xml:space="preserve">Expenditure in Reporting </w:t>
            </w:r>
            <w:r w:rsidR="009B6317">
              <w:rPr>
                <w:b/>
                <w:bCs/>
                <w:color w:val="FFFFFF"/>
              </w:rPr>
              <w:t>Year</w:t>
            </w:r>
          </w:p>
        </w:tc>
        <w:tc>
          <w:tcPr>
            <w:tcW w:w="1425"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9B6317" w:rsidP="000D3DA4">
            <w:pPr>
              <w:rPr>
                <w:b/>
                <w:bCs/>
                <w:color w:val="FFFFFF"/>
              </w:rPr>
            </w:pPr>
            <w:r>
              <w:rPr>
                <w:b/>
                <w:bCs/>
                <w:color w:val="FFFFFF"/>
              </w:rPr>
              <w:t xml:space="preserve">Yearly </w:t>
            </w:r>
            <w:r w:rsidR="00603FF1" w:rsidRPr="00622736">
              <w:rPr>
                <w:b/>
                <w:bCs/>
                <w:color w:val="FFFFFF"/>
              </w:rPr>
              <w:t>Total Expenditure</w:t>
            </w: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color w:val="FFFFFF"/>
              </w:rPr>
            </w:pPr>
            <w:r w:rsidRPr="00622736">
              <w:rPr>
                <w:b/>
                <w:bCs/>
                <w:color w:val="FFFFFF"/>
              </w:rPr>
              <w:t>(F=D+E)</w:t>
            </w:r>
          </w:p>
        </w:tc>
        <w:tc>
          <w:tcPr>
            <w:tcW w:w="1425"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b/>
                <w:bCs/>
                <w:color w:val="FFFFFF"/>
              </w:rPr>
            </w:pPr>
            <w:r w:rsidRPr="00622736">
              <w:rPr>
                <w:b/>
                <w:bCs/>
                <w:color w:val="FFFFFF"/>
              </w:rPr>
              <w:t>Total Expenditure</w:t>
            </w: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r w:rsidRPr="00622736">
              <w:rPr>
                <w:b/>
                <w:bCs/>
                <w:color w:val="FFFFFF"/>
              </w:rPr>
              <w:t>(G=B+C+F)</w:t>
            </w:r>
          </w:p>
          <w:p w:rsidR="00603FF1" w:rsidRPr="00622736" w:rsidRDefault="00603FF1" w:rsidP="000D3DA4">
            <w:pPr>
              <w:rPr>
                <w:color w:val="FFFFFF"/>
              </w:rPr>
            </w:pPr>
          </w:p>
        </w:tc>
        <w:tc>
          <w:tcPr>
            <w:tcW w:w="986"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b/>
                <w:bCs/>
                <w:color w:val="FFFFFF"/>
              </w:rPr>
            </w:pPr>
            <w:r w:rsidRPr="00622736">
              <w:rPr>
                <w:b/>
                <w:bCs/>
                <w:color w:val="FFFFFF"/>
              </w:rPr>
              <w:t>Budget</w:t>
            </w:r>
          </w:p>
          <w:p w:rsidR="00603FF1" w:rsidRPr="00622736" w:rsidRDefault="00603FF1" w:rsidP="000D3DA4">
            <w:pPr>
              <w:rPr>
                <w:b/>
                <w:bCs/>
                <w:color w:val="FFFFFF"/>
              </w:rPr>
            </w:pPr>
            <w:r w:rsidRPr="00622736">
              <w:rPr>
                <w:b/>
                <w:bCs/>
                <w:color w:val="FFFFFF"/>
              </w:rPr>
              <w:t>Balance</w:t>
            </w: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color w:val="FFFFFF"/>
              </w:rPr>
            </w:pPr>
            <w:r w:rsidRPr="00622736">
              <w:rPr>
                <w:b/>
                <w:bCs/>
                <w:color w:val="FFFFFF"/>
              </w:rPr>
              <w:t>(H=A-G)</w:t>
            </w:r>
          </w:p>
        </w:tc>
        <w:tc>
          <w:tcPr>
            <w:tcW w:w="1192"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b/>
                <w:bCs/>
                <w:color w:val="FFFFFF"/>
              </w:rPr>
            </w:pPr>
            <w:r w:rsidRPr="00622736">
              <w:rPr>
                <w:b/>
                <w:bCs/>
                <w:color w:val="FFFFFF"/>
              </w:rPr>
              <w:t>Delivery</w:t>
            </w:r>
          </w:p>
          <w:p w:rsidR="00603FF1" w:rsidRPr="00622736" w:rsidRDefault="00603FF1" w:rsidP="000D3DA4">
            <w:pPr>
              <w:rPr>
                <w:b/>
                <w:bCs/>
                <w:color w:val="FFFFFF"/>
              </w:rPr>
            </w:pPr>
            <w:r w:rsidRPr="00622736">
              <w:rPr>
                <w:b/>
                <w:bCs/>
                <w:color w:val="FFFFFF"/>
              </w:rPr>
              <w:t>Rate</w:t>
            </w: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b/>
                <w:bCs/>
                <w:color w:val="FFFFFF"/>
              </w:rPr>
            </w:pPr>
          </w:p>
          <w:p w:rsidR="00603FF1" w:rsidRPr="00622736" w:rsidRDefault="00603FF1" w:rsidP="000D3DA4">
            <w:pPr>
              <w:rPr>
                <w:color w:val="FFFFFF"/>
              </w:rPr>
            </w:pPr>
            <w:r>
              <w:rPr>
                <w:b/>
                <w:bCs/>
                <w:color w:val="FFFFFF"/>
              </w:rPr>
              <w:t>(% I =</w:t>
            </w:r>
            <w:r w:rsidRPr="00622736">
              <w:rPr>
                <w:b/>
                <w:bCs/>
                <w:color w:val="FFFFFF"/>
              </w:rPr>
              <w:t>G/A)</w:t>
            </w:r>
          </w:p>
        </w:tc>
      </w:tr>
      <w:tr w:rsidR="00603FF1" w:rsidRPr="00622736" w:rsidTr="000D3DA4">
        <w:tc>
          <w:tcPr>
            <w:tcW w:w="1277" w:type="dxa"/>
            <w:vMerge/>
            <w:tcBorders>
              <w:top w:val="single" w:sz="8" w:space="0" w:color="FFFFFF"/>
              <w:left w:val="single" w:sz="8" w:space="0" w:color="FFFFFF"/>
              <w:right w:val="single" w:sz="24" w:space="0" w:color="FFFFFF"/>
            </w:tcBorders>
            <w:shd w:val="clear" w:color="auto" w:fill="4F81BD"/>
          </w:tcPr>
          <w:p w:rsidR="00603FF1" w:rsidRPr="00622736" w:rsidRDefault="00603FF1" w:rsidP="000D3DA4">
            <w:pPr>
              <w:rPr>
                <w:b/>
                <w:bCs/>
                <w:color w:val="FFFFFF"/>
              </w:rPr>
            </w:pPr>
          </w:p>
        </w:tc>
        <w:tc>
          <w:tcPr>
            <w:tcW w:w="127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99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r w:rsidRPr="00622736">
              <w:t>Commitment</w:t>
            </w:r>
          </w:p>
          <w:p w:rsidR="00603FF1" w:rsidRPr="00622736" w:rsidRDefault="00603FF1" w:rsidP="000D3DA4"/>
          <w:p w:rsidR="00603FF1" w:rsidRPr="00622736" w:rsidRDefault="00603FF1" w:rsidP="000D3DA4"/>
          <w:p w:rsidR="00603FF1" w:rsidRPr="00622736" w:rsidRDefault="00603FF1" w:rsidP="000D3DA4">
            <w:r w:rsidRPr="00622736">
              <w:t>(B)</w:t>
            </w:r>
          </w:p>
        </w:tc>
        <w:tc>
          <w:tcPr>
            <w:tcW w:w="1529"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r w:rsidRPr="00622736">
              <w:t>-Expenses + full asset cost</w:t>
            </w:r>
          </w:p>
          <w:p w:rsidR="00603FF1" w:rsidRDefault="00603FF1" w:rsidP="000D3DA4"/>
          <w:p w:rsidR="00603FF1" w:rsidRPr="00622736" w:rsidRDefault="00603FF1" w:rsidP="000D3DA4">
            <w:r w:rsidRPr="00622736">
              <w:t>(C)</w:t>
            </w: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r w:rsidRPr="00622736">
              <w:t>Commitment</w:t>
            </w:r>
          </w:p>
          <w:p w:rsidR="00603FF1" w:rsidRPr="00622736" w:rsidRDefault="00603FF1" w:rsidP="000D3DA4"/>
          <w:p w:rsidR="00603FF1" w:rsidRPr="00622736" w:rsidRDefault="00603FF1" w:rsidP="000D3DA4"/>
          <w:p w:rsidR="00603FF1" w:rsidRPr="00622736" w:rsidRDefault="00603FF1" w:rsidP="000D3DA4">
            <w:r w:rsidRPr="00622736">
              <w:t>(D)</w:t>
            </w:r>
          </w:p>
        </w:tc>
        <w:tc>
          <w:tcPr>
            <w:tcW w:w="150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r w:rsidRPr="00622736">
              <w:t xml:space="preserve"> Expenses + full asset cost</w:t>
            </w:r>
          </w:p>
          <w:p w:rsidR="00603FF1" w:rsidRDefault="00603FF1" w:rsidP="000D3DA4"/>
          <w:p w:rsidR="00603FF1" w:rsidRPr="00622736" w:rsidRDefault="00603FF1" w:rsidP="000D3DA4">
            <w:r w:rsidRPr="00622736">
              <w:t>(E)</w:t>
            </w:r>
          </w:p>
        </w:tc>
        <w:tc>
          <w:tcPr>
            <w:tcW w:w="1425"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425"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986"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192"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r>
      <w:tr w:rsidR="004E189D" w:rsidRPr="00622736" w:rsidTr="000D3DA4">
        <w:tc>
          <w:tcPr>
            <w:tcW w:w="1277" w:type="dxa"/>
            <w:tcBorders>
              <w:left w:val="single" w:sz="8" w:space="0" w:color="FFFFFF"/>
              <w:right w:val="single" w:sz="24" w:space="0" w:color="FFFFFF"/>
            </w:tcBorders>
            <w:shd w:val="clear" w:color="auto" w:fill="4F81BD"/>
          </w:tcPr>
          <w:p w:rsidR="004E189D" w:rsidRPr="00622736" w:rsidRDefault="004E189D" w:rsidP="000D3DA4">
            <w:pPr>
              <w:rPr>
                <w:b/>
                <w:bCs/>
                <w:color w:val="FFFFFF"/>
              </w:rPr>
            </w:pPr>
            <w:r>
              <w:rPr>
                <w:b/>
                <w:bCs/>
                <w:color w:val="FFFFFF"/>
              </w:rPr>
              <w:t>Activity 1</w:t>
            </w:r>
          </w:p>
        </w:tc>
        <w:tc>
          <w:tcPr>
            <w:tcW w:w="1277" w:type="dxa"/>
            <w:shd w:val="clear" w:color="auto" w:fill="D3DFEE"/>
          </w:tcPr>
          <w:p w:rsidR="004E189D" w:rsidRPr="00622736" w:rsidRDefault="005867AA" w:rsidP="000D3DA4">
            <w:r>
              <w:t>708,219</w:t>
            </w:r>
          </w:p>
        </w:tc>
        <w:tc>
          <w:tcPr>
            <w:tcW w:w="997" w:type="dxa"/>
            <w:shd w:val="clear" w:color="auto" w:fill="D3DFEE"/>
          </w:tcPr>
          <w:p w:rsidR="004E189D" w:rsidRPr="00622736" w:rsidRDefault="00CF7E4B" w:rsidP="000D3DA4">
            <w:r>
              <w:t>TRAC</w:t>
            </w:r>
          </w:p>
        </w:tc>
        <w:tc>
          <w:tcPr>
            <w:tcW w:w="1445" w:type="dxa"/>
            <w:shd w:val="clear" w:color="auto" w:fill="D3DFEE"/>
          </w:tcPr>
          <w:p w:rsidR="004E189D" w:rsidRPr="00622736" w:rsidRDefault="004E189D" w:rsidP="000D3DA4"/>
        </w:tc>
        <w:tc>
          <w:tcPr>
            <w:tcW w:w="1529" w:type="dxa"/>
            <w:shd w:val="clear" w:color="auto" w:fill="D3DFEE"/>
          </w:tcPr>
          <w:p w:rsidR="004E189D" w:rsidRPr="00622736" w:rsidRDefault="004E189D" w:rsidP="000D3DA4"/>
        </w:tc>
        <w:tc>
          <w:tcPr>
            <w:tcW w:w="1445" w:type="dxa"/>
            <w:shd w:val="clear" w:color="auto" w:fill="D3DFEE"/>
          </w:tcPr>
          <w:p w:rsidR="004E189D" w:rsidRPr="00622736" w:rsidRDefault="00CF7E4B" w:rsidP="000D3DA4">
            <w:r>
              <w:t>0</w:t>
            </w:r>
          </w:p>
        </w:tc>
        <w:tc>
          <w:tcPr>
            <w:tcW w:w="1506" w:type="dxa"/>
            <w:shd w:val="clear" w:color="auto" w:fill="D3DFEE"/>
          </w:tcPr>
          <w:p w:rsidR="004E189D" w:rsidRPr="00622736" w:rsidRDefault="005867AA" w:rsidP="000D3DA4">
            <w:r>
              <w:t>56,157</w:t>
            </w:r>
          </w:p>
        </w:tc>
        <w:tc>
          <w:tcPr>
            <w:tcW w:w="1425" w:type="dxa"/>
            <w:shd w:val="clear" w:color="auto" w:fill="D3DFEE"/>
          </w:tcPr>
          <w:p w:rsidR="004E189D" w:rsidRPr="00622736" w:rsidRDefault="004E189D" w:rsidP="000D3DA4"/>
        </w:tc>
        <w:tc>
          <w:tcPr>
            <w:tcW w:w="1425" w:type="dxa"/>
            <w:shd w:val="clear" w:color="auto" w:fill="D3DFEE"/>
          </w:tcPr>
          <w:p w:rsidR="004E189D" w:rsidRPr="00622736" w:rsidRDefault="004E189D" w:rsidP="000D3DA4"/>
        </w:tc>
        <w:tc>
          <w:tcPr>
            <w:tcW w:w="986" w:type="dxa"/>
            <w:shd w:val="clear" w:color="auto" w:fill="D3DFEE"/>
          </w:tcPr>
          <w:p w:rsidR="004E189D" w:rsidRPr="00622736" w:rsidRDefault="004E189D" w:rsidP="000D3DA4"/>
        </w:tc>
        <w:tc>
          <w:tcPr>
            <w:tcW w:w="1192" w:type="dxa"/>
            <w:shd w:val="clear" w:color="auto" w:fill="D3DFEE"/>
          </w:tcPr>
          <w:p w:rsidR="004E189D" w:rsidRPr="00622736" w:rsidRDefault="004E189D" w:rsidP="000D3DA4"/>
        </w:tc>
      </w:tr>
      <w:tr w:rsidR="00603FF1" w:rsidRPr="00622736" w:rsidTr="000D3DA4">
        <w:tc>
          <w:tcPr>
            <w:tcW w:w="1277" w:type="dxa"/>
            <w:tcBorders>
              <w:left w:val="single" w:sz="8" w:space="0" w:color="FFFFFF"/>
              <w:right w:val="single" w:sz="24" w:space="0" w:color="FFFFFF"/>
            </w:tcBorders>
            <w:shd w:val="clear" w:color="auto" w:fill="4F81BD"/>
          </w:tcPr>
          <w:p w:rsidR="00603FF1" w:rsidRPr="00622736" w:rsidRDefault="00603FF1" w:rsidP="000D3DA4">
            <w:pPr>
              <w:rPr>
                <w:b/>
                <w:bCs/>
                <w:color w:val="FFFFFF"/>
              </w:rPr>
            </w:pPr>
          </w:p>
        </w:tc>
        <w:tc>
          <w:tcPr>
            <w:tcW w:w="1277" w:type="dxa"/>
            <w:shd w:val="clear" w:color="auto" w:fill="D3DFEE"/>
          </w:tcPr>
          <w:p w:rsidR="00603FF1" w:rsidRPr="00622736" w:rsidRDefault="005867AA" w:rsidP="000D3DA4">
            <w:r>
              <w:t>390</w:t>
            </w:r>
          </w:p>
        </w:tc>
        <w:tc>
          <w:tcPr>
            <w:tcW w:w="997" w:type="dxa"/>
            <w:shd w:val="clear" w:color="auto" w:fill="D3DFEE"/>
          </w:tcPr>
          <w:p w:rsidR="00603FF1" w:rsidRPr="00622736" w:rsidRDefault="00CF7E4B" w:rsidP="000D3DA4">
            <w:r>
              <w:t>11888</w:t>
            </w:r>
          </w:p>
        </w:tc>
        <w:tc>
          <w:tcPr>
            <w:tcW w:w="1445" w:type="dxa"/>
            <w:shd w:val="clear" w:color="auto" w:fill="D3DFEE"/>
          </w:tcPr>
          <w:p w:rsidR="00603FF1" w:rsidRPr="00622736" w:rsidRDefault="00603FF1" w:rsidP="000D3DA4"/>
        </w:tc>
        <w:tc>
          <w:tcPr>
            <w:tcW w:w="1529" w:type="dxa"/>
            <w:shd w:val="clear" w:color="auto" w:fill="D3DFEE"/>
          </w:tcPr>
          <w:p w:rsidR="00603FF1" w:rsidRPr="00622736" w:rsidRDefault="00603FF1" w:rsidP="000D3DA4"/>
        </w:tc>
        <w:tc>
          <w:tcPr>
            <w:tcW w:w="1445" w:type="dxa"/>
            <w:shd w:val="clear" w:color="auto" w:fill="D3DFEE"/>
          </w:tcPr>
          <w:p w:rsidR="00603FF1" w:rsidRPr="00622736" w:rsidRDefault="00CF7E4B" w:rsidP="000D3DA4">
            <w:r>
              <w:t>0</w:t>
            </w:r>
          </w:p>
        </w:tc>
        <w:tc>
          <w:tcPr>
            <w:tcW w:w="1506" w:type="dxa"/>
            <w:shd w:val="clear" w:color="auto" w:fill="D3DFEE"/>
          </w:tcPr>
          <w:p w:rsidR="00603FF1" w:rsidRPr="00622736" w:rsidRDefault="005867AA" w:rsidP="000D3DA4">
            <w:r>
              <w:t>55,212</w:t>
            </w:r>
          </w:p>
        </w:tc>
        <w:tc>
          <w:tcPr>
            <w:tcW w:w="1425" w:type="dxa"/>
            <w:shd w:val="clear" w:color="auto" w:fill="D3DFEE"/>
          </w:tcPr>
          <w:p w:rsidR="00603FF1" w:rsidRPr="00622736" w:rsidRDefault="00603FF1" w:rsidP="000D3DA4"/>
        </w:tc>
        <w:tc>
          <w:tcPr>
            <w:tcW w:w="1425" w:type="dxa"/>
            <w:shd w:val="clear" w:color="auto" w:fill="D3DFEE"/>
          </w:tcPr>
          <w:p w:rsidR="00603FF1" w:rsidRPr="00622736" w:rsidRDefault="00603FF1" w:rsidP="000D3DA4"/>
        </w:tc>
        <w:tc>
          <w:tcPr>
            <w:tcW w:w="986" w:type="dxa"/>
            <w:shd w:val="clear" w:color="auto" w:fill="D3DFEE"/>
          </w:tcPr>
          <w:p w:rsidR="00603FF1" w:rsidRPr="00622736" w:rsidRDefault="00603FF1" w:rsidP="000D3DA4"/>
        </w:tc>
        <w:tc>
          <w:tcPr>
            <w:tcW w:w="1192" w:type="dxa"/>
            <w:shd w:val="clear" w:color="auto" w:fill="D3DFEE"/>
          </w:tcPr>
          <w:p w:rsidR="00603FF1" w:rsidRPr="00622736" w:rsidRDefault="00603FF1" w:rsidP="000D3DA4"/>
        </w:tc>
      </w:tr>
      <w:tr w:rsidR="00603FF1" w:rsidRPr="00622736" w:rsidTr="000D3DA4">
        <w:tc>
          <w:tcPr>
            <w:tcW w:w="1277" w:type="dxa"/>
            <w:tcBorders>
              <w:top w:val="single" w:sz="8" w:space="0" w:color="FFFFFF"/>
              <w:left w:val="single" w:sz="8" w:space="0" w:color="FFFFFF"/>
              <w:right w:val="single" w:sz="24" w:space="0" w:color="FFFFFF"/>
            </w:tcBorders>
            <w:shd w:val="clear" w:color="auto" w:fill="4F81BD"/>
          </w:tcPr>
          <w:p w:rsidR="00603FF1" w:rsidRPr="00622736" w:rsidRDefault="00603FF1" w:rsidP="000D3DA4">
            <w:pPr>
              <w:rPr>
                <w:b/>
                <w:bCs/>
                <w:color w:val="FFFFFF"/>
              </w:rPr>
            </w:pPr>
            <w:r w:rsidRPr="00622736">
              <w:rPr>
                <w:b/>
                <w:bCs/>
                <w:color w:val="FFFFFF"/>
              </w:rPr>
              <w:t xml:space="preserve">GMS </w:t>
            </w:r>
          </w:p>
        </w:tc>
        <w:tc>
          <w:tcPr>
            <w:tcW w:w="127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99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529"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50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98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192"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r>
      <w:tr w:rsidR="00603FF1" w:rsidRPr="00622736" w:rsidTr="000D3DA4">
        <w:tc>
          <w:tcPr>
            <w:tcW w:w="1277" w:type="dxa"/>
            <w:tcBorders>
              <w:left w:val="single" w:sz="8" w:space="0" w:color="FFFFFF"/>
              <w:right w:val="single" w:sz="24" w:space="0" w:color="FFFFFF"/>
            </w:tcBorders>
            <w:shd w:val="clear" w:color="auto" w:fill="4F81BD"/>
          </w:tcPr>
          <w:p w:rsidR="00603FF1" w:rsidRPr="00622736" w:rsidRDefault="00603FF1" w:rsidP="000D3DA4">
            <w:pPr>
              <w:rPr>
                <w:b/>
                <w:bCs/>
                <w:color w:val="FFFFFF"/>
              </w:rPr>
            </w:pPr>
            <w:r w:rsidRPr="00622736">
              <w:rPr>
                <w:b/>
                <w:bCs/>
                <w:color w:val="FFFFFF"/>
              </w:rPr>
              <w:t>Total</w:t>
            </w:r>
          </w:p>
        </w:tc>
        <w:tc>
          <w:tcPr>
            <w:tcW w:w="1277" w:type="dxa"/>
            <w:shd w:val="clear" w:color="auto" w:fill="D3DFEE"/>
          </w:tcPr>
          <w:p w:rsidR="00603FF1" w:rsidRPr="00622736" w:rsidRDefault="00603FF1" w:rsidP="000D3DA4"/>
        </w:tc>
        <w:tc>
          <w:tcPr>
            <w:tcW w:w="997" w:type="dxa"/>
            <w:shd w:val="clear" w:color="auto" w:fill="D3DFEE"/>
          </w:tcPr>
          <w:p w:rsidR="00603FF1" w:rsidRPr="00622736" w:rsidRDefault="00603FF1" w:rsidP="000D3DA4"/>
        </w:tc>
        <w:tc>
          <w:tcPr>
            <w:tcW w:w="1445" w:type="dxa"/>
            <w:shd w:val="clear" w:color="auto" w:fill="D3DFEE"/>
          </w:tcPr>
          <w:p w:rsidR="00603FF1" w:rsidRPr="00622736" w:rsidRDefault="00603FF1" w:rsidP="000D3DA4"/>
        </w:tc>
        <w:tc>
          <w:tcPr>
            <w:tcW w:w="1529" w:type="dxa"/>
            <w:shd w:val="clear" w:color="auto" w:fill="D3DFEE"/>
          </w:tcPr>
          <w:p w:rsidR="00603FF1" w:rsidRPr="00622736" w:rsidRDefault="00603FF1" w:rsidP="000D3DA4"/>
        </w:tc>
        <w:tc>
          <w:tcPr>
            <w:tcW w:w="1445" w:type="dxa"/>
            <w:shd w:val="clear" w:color="auto" w:fill="D3DFEE"/>
          </w:tcPr>
          <w:p w:rsidR="00603FF1" w:rsidRPr="00622736" w:rsidRDefault="00603FF1" w:rsidP="000D3DA4"/>
        </w:tc>
        <w:tc>
          <w:tcPr>
            <w:tcW w:w="1506" w:type="dxa"/>
            <w:shd w:val="clear" w:color="auto" w:fill="D3DFEE"/>
          </w:tcPr>
          <w:p w:rsidR="00603FF1" w:rsidRPr="00622736" w:rsidRDefault="00603FF1" w:rsidP="000D3DA4"/>
        </w:tc>
        <w:tc>
          <w:tcPr>
            <w:tcW w:w="1425" w:type="dxa"/>
            <w:shd w:val="clear" w:color="auto" w:fill="D3DFEE"/>
          </w:tcPr>
          <w:p w:rsidR="00603FF1" w:rsidRPr="00622736" w:rsidRDefault="00603FF1" w:rsidP="000D3DA4"/>
        </w:tc>
        <w:tc>
          <w:tcPr>
            <w:tcW w:w="1425" w:type="dxa"/>
            <w:shd w:val="clear" w:color="auto" w:fill="D3DFEE"/>
          </w:tcPr>
          <w:p w:rsidR="00603FF1" w:rsidRPr="00622736" w:rsidRDefault="00603FF1" w:rsidP="000D3DA4"/>
        </w:tc>
        <w:tc>
          <w:tcPr>
            <w:tcW w:w="986" w:type="dxa"/>
            <w:shd w:val="clear" w:color="auto" w:fill="D3DFEE"/>
          </w:tcPr>
          <w:p w:rsidR="00603FF1" w:rsidRPr="00622736" w:rsidRDefault="00603FF1" w:rsidP="000D3DA4"/>
        </w:tc>
        <w:tc>
          <w:tcPr>
            <w:tcW w:w="1192" w:type="dxa"/>
            <w:shd w:val="clear" w:color="auto" w:fill="D3DFEE"/>
          </w:tcPr>
          <w:p w:rsidR="00603FF1" w:rsidRPr="00622736" w:rsidRDefault="00603FF1" w:rsidP="000D3DA4"/>
        </w:tc>
      </w:tr>
    </w:tbl>
    <w:p w:rsidR="00603FF1" w:rsidRPr="00622736" w:rsidRDefault="00603FF1" w:rsidP="00603FF1"/>
    <w:p w:rsidR="008A0445" w:rsidRPr="00665AD9" w:rsidRDefault="008A0445" w:rsidP="008A0445">
      <w:pPr>
        <w:pStyle w:val="Heading2"/>
        <w:rPr>
          <w:rFonts w:ascii="Myriad Pro" w:hAnsi="Myriad Pro" w:cs="Arial"/>
          <w:b w:val="0"/>
          <w:bCs w:val="0"/>
          <w:color w:val="auto"/>
          <w:sz w:val="22"/>
          <w:szCs w:val="22"/>
        </w:rPr>
      </w:pPr>
      <w:bookmarkStart w:id="135" w:name="_Toc234729425"/>
      <w:r w:rsidRPr="00665AD9">
        <w:rPr>
          <w:rFonts w:ascii="Myriad Pro" w:hAnsi="Myriad Pro" w:cs="Arial"/>
          <w:b w:val="0"/>
          <w:bCs w:val="0"/>
          <w:color w:val="auto"/>
          <w:sz w:val="22"/>
          <w:szCs w:val="22"/>
        </w:rPr>
        <w:lastRenderedPageBreak/>
        <w:t>With regards, to GMS, projects should reflect only ATLAS records as GMS is expected to</w:t>
      </w:r>
      <w:r>
        <w:rPr>
          <w:rFonts w:ascii="Myriad Pro" w:hAnsi="Myriad Pro" w:cs="Arial"/>
          <w:b w:val="0"/>
          <w:bCs w:val="0"/>
          <w:color w:val="auto"/>
          <w:sz w:val="22"/>
          <w:szCs w:val="22"/>
        </w:rPr>
        <w:t xml:space="preserve"> be posted on time this year.  </w:t>
      </w:r>
      <w:r w:rsidRPr="00665AD9">
        <w:rPr>
          <w:rFonts w:ascii="Myriad Pro" w:hAnsi="Myriad Pro" w:cs="Arial"/>
          <w:b w:val="0"/>
          <w:bCs w:val="0"/>
          <w:color w:val="auto"/>
          <w:sz w:val="22"/>
          <w:szCs w:val="22"/>
        </w:rPr>
        <w:t>Columns 1, 2 and 3 which respectively indicate activity, budget and donor of the project reflect the planned budget as in the AWP.  Column 4/5, which indicates Expenditure Status at date of closure of the last reporting phase, will show commitments and disbursement   up to that point. It is advised to use the IPSAS project resource management reports - fund resource overview; project resource overview; project budget balance; project transaction detail. This section has been re-aligned with these reports to make the reporting meaningful and easy.  Commitments are the written contractual obligations which the project has signed out, while disbursements indicate the amount of money which was actually paid for the obligations. In UNDP corporate terms: OPEN REPORTED COMMITMENTS as at the reporting period ARE UNRECEIPTED POs ONLY.    Columns 6/7 similarly indicate commitments and disbursements, however only for the reporting quarter.  Column 8, Quarterly expenditure, will sum up the commitments and disbursements in the reporting quarter.  Column 9, on total expenditures will add the quarter expenditure (column 8) to the expenditure status at the end of the last reporting quarter (columns 4/5).  Column 10, the Balance, is arrived at through subtracting, total expenditure (column 9), from the budget (column 2).  Finally the last column, Column 11, delivery, will be expressed in percentage terms, and is calculated by dividing total expenditure (colu</w:t>
      </w:r>
      <w:r>
        <w:rPr>
          <w:rFonts w:ascii="Myriad Pro" w:hAnsi="Myriad Pro" w:cs="Arial"/>
          <w:b w:val="0"/>
          <w:bCs w:val="0"/>
          <w:color w:val="auto"/>
          <w:sz w:val="22"/>
          <w:szCs w:val="22"/>
        </w:rPr>
        <w:t xml:space="preserve">mn 9) by the budget (column2). </w:t>
      </w:r>
    </w:p>
    <w:p w:rsidR="00603FF1" w:rsidRDefault="00603FF1" w:rsidP="00603FF1">
      <w:pPr>
        <w:pStyle w:val="Heading2"/>
        <w:rPr>
          <w:rFonts w:ascii="Myriad Pro" w:hAnsi="Myriad Pro"/>
        </w:rPr>
      </w:pPr>
    </w:p>
    <w:p w:rsidR="00603FF1" w:rsidRDefault="00603FF1" w:rsidP="00603FF1">
      <w:pPr>
        <w:pStyle w:val="Heading2"/>
        <w:rPr>
          <w:rFonts w:ascii="Myriad Pro" w:hAnsi="Myriad Pro"/>
        </w:rPr>
      </w:pPr>
    </w:p>
    <w:p w:rsidR="00603FF1" w:rsidRDefault="00603FF1" w:rsidP="00603FF1">
      <w:pPr>
        <w:pStyle w:val="Heading2"/>
        <w:rPr>
          <w:rFonts w:ascii="Myriad Pro" w:hAnsi="Myriad Pro"/>
        </w:rPr>
      </w:pPr>
    </w:p>
    <w:p w:rsidR="00603FF1" w:rsidRDefault="00603FF1">
      <w:pPr>
        <w:spacing w:after="200" w:line="276" w:lineRule="auto"/>
        <w:jc w:val="left"/>
        <w:rPr>
          <w:rFonts w:eastAsiaTheme="majorEastAsia" w:cstheme="majorBidi"/>
          <w:b/>
          <w:bCs/>
          <w:color w:val="4F81BD" w:themeColor="accent1"/>
          <w:sz w:val="26"/>
          <w:szCs w:val="26"/>
        </w:rPr>
      </w:pPr>
      <w:r>
        <w:br w:type="page"/>
      </w:r>
    </w:p>
    <w:p w:rsidR="00603FF1" w:rsidRPr="00622736" w:rsidRDefault="00603FF1" w:rsidP="00603FF1">
      <w:pPr>
        <w:pStyle w:val="Heading2"/>
        <w:rPr>
          <w:rFonts w:ascii="Myriad Pro" w:hAnsi="Myriad Pro"/>
        </w:rPr>
      </w:pPr>
      <w:r>
        <w:rPr>
          <w:rFonts w:ascii="Myriad Pro" w:hAnsi="Myriad Pro"/>
        </w:rPr>
        <w:lastRenderedPageBreak/>
        <w:t>Table 3:</w:t>
      </w:r>
      <w:r w:rsidRPr="00622736">
        <w:rPr>
          <w:rFonts w:ascii="Myriad Pro" w:hAnsi="Myriad Pro"/>
        </w:rPr>
        <w:t xml:space="preserve"> Expenditure Status (by donor)</w:t>
      </w:r>
      <w:bookmarkEnd w:id="135"/>
    </w:p>
    <w:tbl>
      <w:tblPr>
        <w:tblW w:w="15151" w:type="dxa"/>
        <w:jc w:val="center"/>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277"/>
        <w:gridCol w:w="1406"/>
        <w:gridCol w:w="1147"/>
        <w:gridCol w:w="1446"/>
        <w:gridCol w:w="142"/>
        <w:gridCol w:w="1389"/>
        <w:gridCol w:w="1446"/>
        <w:gridCol w:w="1531"/>
        <w:gridCol w:w="1587"/>
        <w:gridCol w:w="1559"/>
        <w:gridCol w:w="1134"/>
        <w:gridCol w:w="1087"/>
      </w:tblGrid>
      <w:tr w:rsidR="00603FF1" w:rsidRPr="00622736" w:rsidTr="000D3DA4">
        <w:trPr>
          <w:trHeight w:val="269"/>
          <w:jc w:val="center"/>
        </w:trPr>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color w:val="FFFFFF"/>
              </w:rPr>
            </w:pPr>
            <w:r w:rsidRPr="00622736">
              <w:rPr>
                <w:b/>
                <w:bCs/>
                <w:color w:val="FFFFFF"/>
              </w:rPr>
              <w:t>Donor</w:t>
            </w:r>
          </w:p>
        </w:tc>
        <w:tc>
          <w:tcPr>
            <w:tcW w:w="1406"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color w:val="FFFFFF"/>
              </w:rPr>
            </w:pPr>
            <w:r w:rsidRPr="00622736">
              <w:rPr>
                <w:b/>
                <w:bCs/>
                <w:color w:val="FFFFFF"/>
              </w:rPr>
              <w:t>Budget</w:t>
            </w:r>
          </w:p>
        </w:tc>
        <w:tc>
          <w:tcPr>
            <w:tcW w:w="114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color w:val="FFFFFF"/>
              </w:rPr>
            </w:pPr>
            <w:r w:rsidRPr="00622736">
              <w:rPr>
                <w:b/>
                <w:bCs/>
                <w:color w:val="FFFFFF"/>
              </w:rPr>
              <w:t>Activity</w:t>
            </w:r>
          </w:p>
        </w:tc>
        <w:tc>
          <w:tcPr>
            <w:tcW w:w="2977" w:type="dxa"/>
            <w:gridSpan w:val="3"/>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jc w:val="center"/>
              <w:rPr>
                <w:color w:val="FFFFFF"/>
              </w:rPr>
            </w:pPr>
            <w:r w:rsidRPr="00622736">
              <w:rPr>
                <w:b/>
                <w:bCs/>
                <w:color w:val="FFFFFF"/>
              </w:rPr>
              <w:t>Expenditure Status at</w:t>
            </w:r>
            <w:r w:rsidRPr="00622736">
              <w:rPr>
                <w:b/>
                <w:bCs/>
                <w:color w:val="FFFFFF"/>
              </w:rPr>
              <w:br/>
              <w:t>[Date]</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9B6317">
            <w:pPr>
              <w:jc w:val="center"/>
              <w:rPr>
                <w:color w:val="FFFFFF"/>
              </w:rPr>
            </w:pPr>
            <w:r w:rsidRPr="00622736">
              <w:rPr>
                <w:b/>
                <w:bCs/>
                <w:color w:val="FFFFFF"/>
              </w:rPr>
              <w:t>Expenditure in Reporting</w:t>
            </w:r>
            <w:r w:rsidRPr="00622736">
              <w:rPr>
                <w:b/>
                <w:bCs/>
                <w:color w:val="FFFFFF"/>
              </w:rPr>
              <w:br/>
            </w:r>
            <w:r w:rsidR="009B6317">
              <w:rPr>
                <w:b/>
                <w:bCs/>
                <w:color w:val="FFFFFF"/>
              </w:rPr>
              <w:t xml:space="preserve">Year </w:t>
            </w:r>
          </w:p>
        </w:tc>
        <w:tc>
          <w:tcPr>
            <w:tcW w:w="158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9B6317" w:rsidP="000D3DA4">
            <w:pPr>
              <w:rPr>
                <w:color w:val="FFFFFF"/>
              </w:rPr>
            </w:pPr>
            <w:r>
              <w:rPr>
                <w:b/>
                <w:bCs/>
                <w:color w:val="FFFFFF"/>
              </w:rPr>
              <w:t>Yearly</w:t>
            </w:r>
            <w:r w:rsidR="00603FF1" w:rsidRPr="00622736">
              <w:rPr>
                <w:b/>
                <w:bCs/>
                <w:color w:val="FFFFFF"/>
              </w:rPr>
              <w:t xml:space="preserve"> Expenditure</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color w:val="FFFFFF"/>
              </w:rPr>
            </w:pPr>
            <w:r w:rsidRPr="00622736">
              <w:rPr>
                <w:b/>
                <w:bCs/>
                <w:color w:val="FFFFFF"/>
              </w:rPr>
              <w:t>Total Expenditure</w:t>
            </w:r>
          </w:p>
        </w:tc>
        <w:tc>
          <w:tcPr>
            <w:tcW w:w="1134"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color w:val="FFFFFF"/>
              </w:rPr>
            </w:pPr>
            <w:r w:rsidRPr="00622736">
              <w:rPr>
                <w:b/>
                <w:bCs/>
                <w:color w:val="FFFFFF"/>
              </w:rPr>
              <w:t>Balance</w:t>
            </w:r>
          </w:p>
        </w:tc>
        <w:tc>
          <w:tcPr>
            <w:tcW w:w="108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622736" w:rsidRDefault="00603FF1" w:rsidP="000D3DA4">
            <w:pPr>
              <w:rPr>
                <w:color w:val="FFFFFF"/>
              </w:rPr>
            </w:pPr>
            <w:r w:rsidRPr="00622736">
              <w:rPr>
                <w:b/>
                <w:bCs/>
                <w:color w:val="FFFFFF"/>
              </w:rPr>
              <w:t>Delivery</w:t>
            </w:r>
          </w:p>
        </w:tc>
      </w:tr>
      <w:tr w:rsidR="00603FF1" w:rsidRPr="00622736" w:rsidTr="000D3DA4">
        <w:trPr>
          <w:trHeight w:val="269"/>
          <w:jc w:val="center"/>
        </w:trPr>
        <w:tc>
          <w:tcPr>
            <w:tcW w:w="1277" w:type="dxa"/>
            <w:vMerge/>
            <w:tcBorders>
              <w:top w:val="single" w:sz="8" w:space="0" w:color="FFFFFF"/>
              <w:left w:val="single" w:sz="8" w:space="0" w:color="FFFFFF"/>
              <w:right w:val="single" w:sz="24" w:space="0" w:color="FFFFFF"/>
            </w:tcBorders>
            <w:shd w:val="clear" w:color="auto" w:fill="4F81BD"/>
          </w:tcPr>
          <w:p w:rsidR="00603FF1" w:rsidRPr="00622736" w:rsidRDefault="00603FF1" w:rsidP="000D3DA4">
            <w:pPr>
              <w:rPr>
                <w:b/>
                <w:bCs/>
                <w:color w:val="FFFFFF"/>
              </w:rPr>
            </w:pPr>
          </w:p>
        </w:tc>
        <w:tc>
          <w:tcPr>
            <w:tcW w:w="1406"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14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r w:rsidRPr="00622736">
              <w:t>Commitment</w:t>
            </w:r>
          </w:p>
        </w:tc>
        <w:tc>
          <w:tcPr>
            <w:tcW w:w="1531" w:type="dxa"/>
            <w:gridSpan w:val="2"/>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r w:rsidRPr="00622736">
              <w:t>Disbursement</w:t>
            </w:r>
          </w:p>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r w:rsidRPr="00622736">
              <w:t>Commitment</w:t>
            </w:r>
          </w:p>
        </w:tc>
        <w:tc>
          <w:tcPr>
            <w:tcW w:w="1531"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r w:rsidRPr="00622736">
              <w:t>Disbursement</w:t>
            </w:r>
          </w:p>
        </w:tc>
        <w:tc>
          <w:tcPr>
            <w:tcW w:w="158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559"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134"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08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r>
      <w:tr w:rsidR="00603FF1" w:rsidRPr="00622736" w:rsidTr="000D3DA4">
        <w:trPr>
          <w:jc w:val="center"/>
        </w:trPr>
        <w:tc>
          <w:tcPr>
            <w:tcW w:w="1277" w:type="dxa"/>
            <w:tcBorders>
              <w:left w:val="single" w:sz="8" w:space="0" w:color="FFFFFF"/>
              <w:right w:val="single" w:sz="24" w:space="0" w:color="FFFFFF"/>
            </w:tcBorders>
            <w:shd w:val="clear" w:color="auto" w:fill="4F81BD"/>
          </w:tcPr>
          <w:p w:rsidR="00603FF1" w:rsidRPr="00622736" w:rsidRDefault="00603FF1" w:rsidP="000D3DA4">
            <w:pPr>
              <w:rPr>
                <w:b/>
                <w:bCs/>
                <w:color w:val="FFFFFF"/>
              </w:rPr>
            </w:pPr>
          </w:p>
        </w:tc>
        <w:tc>
          <w:tcPr>
            <w:tcW w:w="1406" w:type="dxa"/>
            <w:shd w:val="clear" w:color="auto" w:fill="D3DFEE"/>
          </w:tcPr>
          <w:p w:rsidR="00603FF1" w:rsidRPr="00622736" w:rsidRDefault="00603FF1" w:rsidP="000D3DA4"/>
        </w:tc>
        <w:tc>
          <w:tcPr>
            <w:tcW w:w="1147" w:type="dxa"/>
            <w:shd w:val="clear" w:color="auto" w:fill="D3DFEE"/>
          </w:tcPr>
          <w:p w:rsidR="00603FF1" w:rsidRPr="00622736" w:rsidRDefault="00603FF1" w:rsidP="000D3DA4"/>
        </w:tc>
        <w:tc>
          <w:tcPr>
            <w:tcW w:w="1588" w:type="dxa"/>
            <w:gridSpan w:val="2"/>
            <w:shd w:val="clear" w:color="auto" w:fill="D3DFEE"/>
          </w:tcPr>
          <w:p w:rsidR="00603FF1" w:rsidRPr="00622736" w:rsidRDefault="00603FF1" w:rsidP="000D3DA4"/>
        </w:tc>
        <w:tc>
          <w:tcPr>
            <w:tcW w:w="1389" w:type="dxa"/>
            <w:shd w:val="clear" w:color="auto" w:fill="D3DFEE"/>
          </w:tcPr>
          <w:p w:rsidR="00603FF1" w:rsidRPr="00622736" w:rsidRDefault="00603FF1" w:rsidP="000D3DA4"/>
        </w:tc>
        <w:tc>
          <w:tcPr>
            <w:tcW w:w="1446" w:type="dxa"/>
            <w:shd w:val="clear" w:color="auto" w:fill="D3DFEE"/>
          </w:tcPr>
          <w:p w:rsidR="00603FF1" w:rsidRPr="00622736" w:rsidRDefault="00603FF1" w:rsidP="000D3DA4"/>
        </w:tc>
        <w:tc>
          <w:tcPr>
            <w:tcW w:w="1531" w:type="dxa"/>
            <w:shd w:val="clear" w:color="auto" w:fill="D3DFEE"/>
          </w:tcPr>
          <w:p w:rsidR="00603FF1" w:rsidRPr="00622736" w:rsidRDefault="00603FF1" w:rsidP="000D3DA4"/>
        </w:tc>
        <w:tc>
          <w:tcPr>
            <w:tcW w:w="1587" w:type="dxa"/>
            <w:shd w:val="clear" w:color="auto" w:fill="D3DFEE"/>
          </w:tcPr>
          <w:p w:rsidR="00603FF1" w:rsidRPr="00622736" w:rsidRDefault="00603FF1" w:rsidP="000D3DA4"/>
        </w:tc>
        <w:tc>
          <w:tcPr>
            <w:tcW w:w="1559" w:type="dxa"/>
            <w:shd w:val="clear" w:color="auto" w:fill="D3DFEE"/>
          </w:tcPr>
          <w:p w:rsidR="00603FF1" w:rsidRPr="00622736" w:rsidRDefault="00603FF1" w:rsidP="000D3DA4"/>
        </w:tc>
        <w:tc>
          <w:tcPr>
            <w:tcW w:w="1134" w:type="dxa"/>
            <w:shd w:val="clear" w:color="auto" w:fill="D3DFEE"/>
          </w:tcPr>
          <w:p w:rsidR="00603FF1" w:rsidRPr="00622736" w:rsidRDefault="00603FF1" w:rsidP="000D3DA4"/>
        </w:tc>
        <w:tc>
          <w:tcPr>
            <w:tcW w:w="1087" w:type="dxa"/>
            <w:shd w:val="clear" w:color="auto" w:fill="D3DFEE"/>
          </w:tcPr>
          <w:p w:rsidR="00603FF1" w:rsidRPr="00622736" w:rsidRDefault="00603FF1" w:rsidP="000D3DA4"/>
        </w:tc>
      </w:tr>
      <w:tr w:rsidR="00603FF1" w:rsidRPr="00622736" w:rsidTr="000D3DA4">
        <w:trPr>
          <w:jc w:val="center"/>
        </w:trPr>
        <w:tc>
          <w:tcPr>
            <w:tcW w:w="1277" w:type="dxa"/>
            <w:tcBorders>
              <w:top w:val="single" w:sz="8" w:space="0" w:color="FFFFFF"/>
              <w:left w:val="single" w:sz="8" w:space="0" w:color="FFFFFF"/>
              <w:right w:val="single" w:sz="24" w:space="0" w:color="FFFFFF"/>
            </w:tcBorders>
            <w:shd w:val="clear" w:color="auto" w:fill="4F81BD"/>
          </w:tcPr>
          <w:p w:rsidR="00603FF1" w:rsidRPr="00622736" w:rsidRDefault="00603FF1" w:rsidP="000D3DA4">
            <w:pPr>
              <w:rPr>
                <w:b/>
                <w:bCs/>
                <w:color w:val="FFFFFF"/>
              </w:rPr>
            </w:pPr>
            <w:r w:rsidRPr="00622736">
              <w:rPr>
                <w:b/>
                <w:bCs/>
                <w:color w:val="FFFFFF"/>
              </w:rPr>
              <w:t>GMS</w:t>
            </w:r>
          </w:p>
        </w:tc>
        <w:tc>
          <w:tcPr>
            <w:tcW w:w="140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14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588" w:type="dxa"/>
            <w:gridSpan w:val="2"/>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389"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531"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58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134"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c>
          <w:tcPr>
            <w:tcW w:w="1087" w:type="dxa"/>
            <w:tcBorders>
              <w:top w:val="single" w:sz="8" w:space="0" w:color="FFFFFF"/>
              <w:left w:val="single" w:sz="8" w:space="0" w:color="FFFFFF"/>
              <w:bottom w:val="single" w:sz="8" w:space="0" w:color="FFFFFF"/>
              <w:right w:val="single" w:sz="8" w:space="0" w:color="FFFFFF"/>
            </w:tcBorders>
            <w:shd w:val="clear" w:color="auto" w:fill="A7BFDE"/>
          </w:tcPr>
          <w:p w:rsidR="00603FF1" w:rsidRPr="00622736" w:rsidRDefault="00603FF1" w:rsidP="000D3DA4"/>
        </w:tc>
      </w:tr>
      <w:tr w:rsidR="00603FF1" w:rsidRPr="00622736" w:rsidTr="000D3DA4">
        <w:trPr>
          <w:jc w:val="center"/>
        </w:trPr>
        <w:tc>
          <w:tcPr>
            <w:tcW w:w="1277" w:type="dxa"/>
            <w:tcBorders>
              <w:left w:val="single" w:sz="8" w:space="0" w:color="FFFFFF"/>
              <w:right w:val="single" w:sz="24" w:space="0" w:color="FFFFFF"/>
            </w:tcBorders>
            <w:shd w:val="clear" w:color="auto" w:fill="4F81BD"/>
          </w:tcPr>
          <w:p w:rsidR="00603FF1" w:rsidRPr="00622736" w:rsidRDefault="00603FF1" w:rsidP="000D3DA4">
            <w:pPr>
              <w:rPr>
                <w:b/>
                <w:bCs/>
                <w:color w:val="FFFFFF"/>
              </w:rPr>
            </w:pPr>
            <w:r w:rsidRPr="00622736">
              <w:rPr>
                <w:b/>
                <w:bCs/>
                <w:color w:val="FFFFFF"/>
              </w:rPr>
              <w:t>Total</w:t>
            </w:r>
          </w:p>
        </w:tc>
        <w:tc>
          <w:tcPr>
            <w:tcW w:w="1406" w:type="dxa"/>
            <w:shd w:val="clear" w:color="auto" w:fill="D3DFEE"/>
          </w:tcPr>
          <w:p w:rsidR="00603FF1" w:rsidRPr="00622736" w:rsidRDefault="00603FF1" w:rsidP="000D3DA4"/>
        </w:tc>
        <w:tc>
          <w:tcPr>
            <w:tcW w:w="1147" w:type="dxa"/>
            <w:shd w:val="clear" w:color="auto" w:fill="D3DFEE"/>
          </w:tcPr>
          <w:p w:rsidR="00603FF1" w:rsidRPr="00622736" w:rsidRDefault="00603FF1" w:rsidP="000D3DA4"/>
        </w:tc>
        <w:tc>
          <w:tcPr>
            <w:tcW w:w="1588" w:type="dxa"/>
            <w:gridSpan w:val="2"/>
            <w:shd w:val="clear" w:color="auto" w:fill="D3DFEE"/>
          </w:tcPr>
          <w:p w:rsidR="00603FF1" w:rsidRPr="00622736" w:rsidRDefault="00603FF1" w:rsidP="000D3DA4"/>
        </w:tc>
        <w:tc>
          <w:tcPr>
            <w:tcW w:w="1389" w:type="dxa"/>
            <w:shd w:val="clear" w:color="auto" w:fill="D3DFEE"/>
          </w:tcPr>
          <w:p w:rsidR="00603FF1" w:rsidRPr="00622736" w:rsidRDefault="00603FF1" w:rsidP="000D3DA4"/>
        </w:tc>
        <w:tc>
          <w:tcPr>
            <w:tcW w:w="1446" w:type="dxa"/>
            <w:shd w:val="clear" w:color="auto" w:fill="D3DFEE"/>
          </w:tcPr>
          <w:p w:rsidR="00603FF1" w:rsidRPr="00622736" w:rsidRDefault="00603FF1" w:rsidP="000D3DA4"/>
        </w:tc>
        <w:tc>
          <w:tcPr>
            <w:tcW w:w="1531" w:type="dxa"/>
            <w:shd w:val="clear" w:color="auto" w:fill="D3DFEE"/>
          </w:tcPr>
          <w:p w:rsidR="00603FF1" w:rsidRPr="00622736" w:rsidRDefault="00603FF1" w:rsidP="000D3DA4"/>
        </w:tc>
        <w:tc>
          <w:tcPr>
            <w:tcW w:w="1587" w:type="dxa"/>
            <w:shd w:val="clear" w:color="auto" w:fill="D3DFEE"/>
          </w:tcPr>
          <w:p w:rsidR="00603FF1" w:rsidRPr="00622736" w:rsidRDefault="00603FF1" w:rsidP="000D3DA4"/>
        </w:tc>
        <w:tc>
          <w:tcPr>
            <w:tcW w:w="1559" w:type="dxa"/>
            <w:shd w:val="clear" w:color="auto" w:fill="D3DFEE"/>
          </w:tcPr>
          <w:p w:rsidR="00603FF1" w:rsidRPr="00622736" w:rsidRDefault="00603FF1" w:rsidP="000D3DA4"/>
        </w:tc>
        <w:tc>
          <w:tcPr>
            <w:tcW w:w="1134" w:type="dxa"/>
            <w:shd w:val="clear" w:color="auto" w:fill="D3DFEE"/>
          </w:tcPr>
          <w:p w:rsidR="00603FF1" w:rsidRPr="00622736" w:rsidRDefault="00603FF1" w:rsidP="000D3DA4"/>
        </w:tc>
        <w:tc>
          <w:tcPr>
            <w:tcW w:w="1087" w:type="dxa"/>
            <w:shd w:val="clear" w:color="auto" w:fill="D3DFEE"/>
          </w:tcPr>
          <w:p w:rsidR="00603FF1" w:rsidRPr="00622736" w:rsidRDefault="00603FF1" w:rsidP="000D3DA4"/>
        </w:tc>
      </w:tr>
    </w:tbl>
    <w:p w:rsidR="00603FF1" w:rsidRPr="00622736" w:rsidRDefault="00603FF1" w:rsidP="00603FF1"/>
    <w:p w:rsidR="00261B0C" w:rsidRPr="00AF5902" w:rsidRDefault="008A0445" w:rsidP="00F80181">
      <w:pPr>
        <w:spacing w:after="200" w:line="276" w:lineRule="auto"/>
        <w:jc w:val="left"/>
        <w:rPr>
          <w:lang w:val="en-GB"/>
        </w:rPr>
      </w:pPr>
      <w:r w:rsidRPr="008A0445">
        <w:t>The explanation under this section is similar to the above section, however here the difference is that on this table expenditure is categorized</w:t>
      </w:r>
      <w:r w:rsidR="00F80181">
        <w:t xml:space="preserve"> as per source of funding/donor</w:t>
      </w:r>
      <w:bookmarkEnd w:id="129"/>
      <w:bookmarkEnd w:id="130"/>
      <w:bookmarkEnd w:id="131"/>
      <w:bookmarkEnd w:id="132"/>
    </w:p>
    <w:p w:rsidR="00261B0C" w:rsidRPr="00AF5902" w:rsidRDefault="00261B0C" w:rsidP="00261B0C">
      <w:pPr>
        <w:rPr>
          <w:lang w:val="en-GB"/>
        </w:rPr>
      </w:pPr>
    </w:p>
    <w:p w:rsidR="00261B0C" w:rsidRPr="00AF5902" w:rsidRDefault="00261B0C" w:rsidP="00261B0C">
      <w:pPr>
        <w:rPr>
          <w:lang w:val="en-GB"/>
        </w:rPr>
      </w:pPr>
    </w:p>
    <w:p w:rsidR="00261B0C" w:rsidRPr="00AF5902" w:rsidRDefault="00261B0C" w:rsidP="00261B0C">
      <w:pPr>
        <w:rPr>
          <w:lang w:val="en-GB"/>
        </w:rPr>
      </w:pPr>
    </w:p>
    <w:p w:rsidR="00261B0C" w:rsidRPr="00AF5902" w:rsidRDefault="00261B0C" w:rsidP="00261B0C">
      <w:pPr>
        <w:rPr>
          <w:szCs w:val="22"/>
        </w:rPr>
      </w:pPr>
    </w:p>
    <w:sectPr w:rsidR="00261B0C" w:rsidRPr="00AF5902" w:rsidSect="00F80181">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ED" w:rsidRDefault="00B142ED" w:rsidP="00261B0C">
      <w:r>
        <w:separator/>
      </w:r>
    </w:p>
  </w:endnote>
  <w:endnote w:type="continuationSeparator" w:id="0">
    <w:p w:rsidR="00B142ED" w:rsidRDefault="00B142ED" w:rsidP="002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8615"/>
      <w:docPartObj>
        <w:docPartGallery w:val="Page Numbers (Bottom of Page)"/>
        <w:docPartUnique/>
      </w:docPartObj>
    </w:sdtPr>
    <w:sdtEndPr>
      <w:rPr>
        <w:noProof/>
      </w:rPr>
    </w:sdtEndPr>
    <w:sdtContent>
      <w:p w:rsidR="00024D97" w:rsidRDefault="00024D97">
        <w:pPr>
          <w:pStyle w:val="Footer"/>
        </w:pPr>
        <w:r>
          <w:fldChar w:fldCharType="begin"/>
        </w:r>
        <w:r>
          <w:instrText xml:space="preserve"> PAGE   \* MERGEFORMAT </w:instrText>
        </w:r>
        <w:r>
          <w:fldChar w:fldCharType="separate"/>
        </w:r>
        <w:r w:rsidR="0037315B">
          <w:rPr>
            <w:noProof/>
          </w:rPr>
          <w:t>11</w:t>
        </w:r>
        <w:r>
          <w:rPr>
            <w:noProof/>
          </w:rPr>
          <w:fldChar w:fldCharType="end"/>
        </w:r>
      </w:p>
    </w:sdtContent>
  </w:sdt>
  <w:p w:rsidR="00024D97" w:rsidRDefault="00024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51" w:rsidRDefault="00BF6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51" w:rsidRDefault="00BF6051">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Content>
        <w:r>
          <w:rPr>
            <w:noProof/>
            <w:color w:val="7F7F7F" w:themeColor="background1" w:themeShade="7F"/>
            <w:lang w:val="en-GB"/>
          </w:rPr>
          <w:t>Annual Progress Report</w:t>
        </w:r>
      </w:sdtContent>
    </w:sdt>
    <w:r>
      <w:rPr>
        <w:color w:val="7F7F7F" w:themeColor="background1" w:themeShade="7F"/>
      </w:rPr>
      <w:t xml:space="preserve"> | </w:t>
    </w:r>
  </w:p>
  <w:p w:rsidR="00BF6051" w:rsidRDefault="00BF6051" w:rsidP="00623F72">
    <w:pPr>
      <w:pStyle w:val="Footer"/>
      <w:tabs>
        <w:tab w:val="clear" w:pos="4513"/>
        <w:tab w:val="clear" w:pos="9026"/>
        <w:tab w:val="left" w:pos="192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51" w:rsidRDefault="00BF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ED" w:rsidRDefault="00B142ED" w:rsidP="00261B0C">
      <w:r>
        <w:separator/>
      </w:r>
    </w:p>
  </w:footnote>
  <w:footnote w:type="continuationSeparator" w:id="0">
    <w:p w:rsidR="00B142ED" w:rsidRDefault="00B142ED" w:rsidP="0026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51" w:rsidRDefault="00BF6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51" w:rsidRDefault="00BF6051" w:rsidP="009A7F3B">
    <w:pPr>
      <w:pStyle w:val="Header"/>
      <w:jc w:val="right"/>
    </w:pPr>
    <w:r>
      <w:rPr>
        <w:noProof/>
      </w:rPr>
      <mc:AlternateContent>
        <mc:Choice Requires="wps">
          <w:drawing>
            <wp:anchor distT="0" distB="0" distL="114300" distR="114300" simplePos="0" relativeHeight="251661312" behindDoc="0" locked="0" layoutInCell="0" allowOverlap="1" wp14:anchorId="1E48B6BC" wp14:editId="669716B9">
              <wp:simplePos x="0" y="0"/>
              <wp:positionH relativeFrom="margin">
                <wp:align>left</wp:align>
              </wp:positionH>
              <wp:positionV relativeFrom="topMargin">
                <wp:align>center</wp:align>
              </wp:positionV>
              <wp:extent cx="5731510" cy="1708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051" w:rsidRPr="009A7F3B" w:rsidRDefault="00BF6051" w:rsidP="009A7F3B"/>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451.3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TCsQIAALMFAAAOAAAAZHJzL2Uyb0RvYy54bWysVG1vmzAQ/j5p/8HydwqmkARUUrUhTJO6&#10;F6ndD3DABGtgM9sJdNP++84mSdNWk6ZtfED2+fzcPXeP7+p67Fq0Z0pzKTJMLgKMmChlxcU2w18e&#10;Cm+BkTZUVLSVgmX4kWl8vXz75mroUxbKRrYVUwhAhE6HPsONMX3q+7psWEf1heyZgMNaqo4a2Kqt&#10;Xyk6AHrX+mEQzPxBqqpXsmRagzWfDvHS4dc1K82nutbMoDbDkJtxf+X+G/v3l1c03SraN7w8pEH/&#10;IouOcgFBT1A5NRTtFH8F1fFSSS1rc1HKzpd1zUvmOAAbErxgc9/QnjkuUBzdn8qk/x9s+XH/WSFe&#10;ZfgSI0E7aNEDGw26lSMKbXWGXqfgdN+DmxnBDF12THV/J8uvGgm5aqjYshul5NAwWkF2xN70z65O&#10;ONqCbIYPsoIwdGekAxpr1dnSQTEQoEOXHk+dsamUYIznlyQmcFTCGZkHCxK7EDQ93u6VNu+Y7JBd&#10;ZFhB5x063d9pY7Oh6dHFBhOy4G3rut+KZwZwnCwQG67aM5uFa+aPJEjWi/Ui8qJwtvaiIM+9m2IV&#10;ebOCzOP8Ml+tcvLTxiVR2vCqYsKGOQqLRH/WuIPEJ0mcpKVlyysLZ1PSartZtQrtKQi7cN+hIGdu&#10;/vM0XBGAywtKJIyC2zDxitli7kVFFHsJFNgLSHKbzIIoifLiOaU7Lti/U0JDhpM4jCcx/ZZb4L7X&#10;3GjacQOjo+VdhhcnJ5paCa5F5VprKG+n9VkpbPpPpYB2HxvtBGs1OqnVjJsRUKyKN7J6BOkqCcoC&#10;EcK8g0Uj1XeMBpgdGdbfdlQxjNr3AuSfkCiyw8ZtYKHOrZujlYoSIDJcGoXRtFmZaTTtesW3DcQ4&#10;PrUbeCwFdzp+yufwxGAyODqHKWZHz/neeT3N2uUvAAAA//8DAFBLAwQUAAYACAAAACEAgw5zINsA&#10;AAAEAQAADwAAAGRycy9kb3ducmV2LnhtbEyPQUvEMBCF74L/IYzgzU0sS7G16SKCHmRVtopeZ5uY&#10;FptJbbK73X/v6EUvD4Y3vPe9ajX7QeztFPtAGi4XCoSlNpienIbXl7uLKxAxIRkcAlkNRxthVZ+e&#10;VFiacKCN3TfJCQ6hWKKGLqWxlDK2nfUYF2G0xN5HmDwmPicnzYQHDveDzJTKpceeuKHD0d52tv1s&#10;dp5L3h7x+KTW/rl9+Cru39euWS6d1udn8801iGTn9PcMP/iMDjUzbcOOTBSDBh6SfpW9QmU5iK2G&#10;LC9A1pX8D19/AwAA//8DAFBLAQItABQABgAIAAAAIQC2gziS/gAAAOEBAAATAAAAAAAAAAAAAAAA&#10;AAAAAABbQ29udGVudF9UeXBlc10ueG1sUEsBAi0AFAAGAAgAAAAhADj9If/WAAAAlAEAAAsAAAAA&#10;AAAAAAAAAAAALwEAAF9yZWxzLy5yZWxzUEsBAi0AFAAGAAgAAAAhAJLUFMKxAgAAswUAAA4AAAAA&#10;AAAAAAAAAAAALgIAAGRycy9lMm9Eb2MueG1sUEsBAi0AFAAGAAgAAAAhAIMOcyDbAAAABAEAAA8A&#10;AAAAAAAAAAAAAAAACwUAAGRycy9kb3ducmV2LnhtbFBLBQYAAAAABAAEAPMAAAATBgAAAAA=&#10;" o:allowincell="f" filled="f" stroked="f">
              <v:textbox style="mso-fit-shape-to-text:t" inset=",0,,0">
                <w:txbxContent>
                  <w:p w:rsidR="00BF6051" w:rsidRPr="009A7F3B" w:rsidRDefault="00BF6051" w:rsidP="009A7F3B"/>
                </w:txbxContent>
              </v:textbox>
              <w10:wrap anchorx="margin" anchory="margin"/>
            </v:shape>
          </w:pict>
        </mc:Fallback>
      </mc:AlternateContent>
    </w:r>
    <w:r>
      <w:t>Project Title -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51" w:rsidRDefault="00BF6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031"/>
    <w:multiLevelType w:val="hybridMultilevel"/>
    <w:tmpl w:val="EA9E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646B"/>
    <w:multiLevelType w:val="hybridMultilevel"/>
    <w:tmpl w:val="3E884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C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315F1F"/>
    <w:multiLevelType w:val="hybridMultilevel"/>
    <w:tmpl w:val="13D4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D2ABD"/>
    <w:multiLevelType w:val="hybridMultilevel"/>
    <w:tmpl w:val="150AA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3638F2"/>
    <w:multiLevelType w:val="hybridMultilevel"/>
    <w:tmpl w:val="C978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E1191"/>
    <w:multiLevelType w:val="hybridMultilevel"/>
    <w:tmpl w:val="241C9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373D5F"/>
    <w:multiLevelType w:val="hybridMultilevel"/>
    <w:tmpl w:val="7B3AF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D60F93"/>
    <w:multiLevelType w:val="multilevel"/>
    <w:tmpl w:val="39C47A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C52589"/>
    <w:multiLevelType w:val="hybridMultilevel"/>
    <w:tmpl w:val="40D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21BDA"/>
    <w:multiLevelType w:val="hybridMultilevel"/>
    <w:tmpl w:val="B20A99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5B95019"/>
    <w:multiLevelType w:val="hybridMultilevel"/>
    <w:tmpl w:val="7A7C77F8"/>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0A2C9F"/>
    <w:multiLevelType w:val="hybridMultilevel"/>
    <w:tmpl w:val="CE8A01E2"/>
    <w:lvl w:ilvl="0" w:tplc="9834678E">
      <w:start w:val="1"/>
      <w:numFmt w:val="decimal"/>
      <w:lvlText w:val="(%1)"/>
      <w:lvlJc w:val="left"/>
      <w:pPr>
        <w:tabs>
          <w:tab w:val="num" w:pos="1202"/>
        </w:tabs>
        <w:ind w:left="1202" w:hanging="495"/>
      </w:pPr>
      <w:rPr>
        <w:rFonts w:hint="default"/>
      </w:rPr>
    </w:lvl>
    <w:lvl w:ilvl="1" w:tplc="BCBC1C88">
      <w:start w:val="1"/>
      <w:numFmt w:val="decimal"/>
      <w:lvlText w:val="%2."/>
      <w:lvlJc w:val="left"/>
      <w:pPr>
        <w:tabs>
          <w:tab w:val="num" w:pos="1787"/>
        </w:tabs>
        <w:ind w:left="1787" w:hanging="360"/>
      </w:pPr>
      <w:rPr>
        <w:rFonts w:hint="default"/>
      </w:rPr>
    </w:lvl>
    <w:lvl w:ilvl="2" w:tplc="0409001B" w:tentative="1">
      <w:start w:val="1"/>
      <w:numFmt w:val="lowerRoman"/>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13">
    <w:nsid w:val="64F276F2"/>
    <w:multiLevelType w:val="hybridMultilevel"/>
    <w:tmpl w:val="098EFD04"/>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8640CC1"/>
    <w:multiLevelType w:val="hybridMultilevel"/>
    <w:tmpl w:val="567A1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8BC3ADC"/>
    <w:multiLevelType w:val="hybridMultilevel"/>
    <w:tmpl w:val="B704C1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DF7F6D"/>
    <w:multiLevelType w:val="hybridMultilevel"/>
    <w:tmpl w:val="3F3E8728"/>
    <w:lvl w:ilvl="0" w:tplc="08090011">
      <w:start w:val="1"/>
      <w:numFmt w:val="decimal"/>
      <w:lvlText w:val="%1)"/>
      <w:lvlJc w:val="left"/>
      <w:pPr>
        <w:tabs>
          <w:tab w:val="num" w:pos="910"/>
        </w:tabs>
        <w:ind w:left="910" w:hanging="360"/>
      </w:pPr>
    </w:lvl>
    <w:lvl w:ilvl="1" w:tplc="AEEE5296">
      <w:start w:val="1"/>
      <w:numFmt w:val="upp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3E86983"/>
    <w:multiLevelType w:val="hybridMultilevel"/>
    <w:tmpl w:val="2E142838"/>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7D025E4"/>
    <w:multiLevelType w:val="hybridMultilevel"/>
    <w:tmpl w:val="5924227C"/>
    <w:lvl w:ilvl="0" w:tplc="B3EE2C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9260532"/>
    <w:multiLevelType w:val="hybridMultilevel"/>
    <w:tmpl w:val="0C42AE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79570C"/>
    <w:multiLevelType w:val="hybridMultilevel"/>
    <w:tmpl w:val="3F9EDD6A"/>
    <w:lvl w:ilvl="0" w:tplc="38A2F4E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996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D479DB"/>
    <w:multiLevelType w:val="hybridMultilevel"/>
    <w:tmpl w:val="5536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44873"/>
    <w:multiLevelType w:val="hybridMultilevel"/>
    <w:tmpl w:val="9FE00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0"/>
  </w:num>
  <w:num w:numId="3">
    <w:abstractNumId w:val="12"/>
  </w:num>
  <w:num w:numId="4">
    <w:abstractNumId w:val="11"/>
  </w:num>
  <w:num w:numId="5">
    <w:abstractNumId w:val="16"/>
  </w:num>
  <w:num w:numId="6">
    <w:abstractNumId w:val="15"/>
  </w:num>
  <w:num w:numId="7">
    <w:abstractNumId w:val="23"/>
  </w:num>
  <w:num w:numId="8">
    <w:abstractNumId w:val="7"/>
  </w:num>
  <w:num w:numId="9">
    <w:abstractNumId w:val="19"/>
  </w:num>
  <w:num w:numId="10">
    <w:abstractNumId w:val="18"/>
  </w:num>
  <w:num w:numId="11">
    <w:abstractNumId w:val="3"/>
  </w:num>
  <w:num w:numId="12">
    <w:abstractNumId w:val="14"/>
  </w:num>
  <w:num w:numId="13">
    <w:abstractNumId w:val="2"/>
  </w:num>
  <w:num w:numId="14">
    <w:abstractNumId w:val="21"/>
  </w:num>
  <w:num w:numId="15">
    <w:abstractNumId w:val="8"/>
  </w:num>
  <w:num w:numId="16">
    <w:abstractNumId w:val="10"/>
  </w:num>
  <w:num w:numId="17">
    <w:abstractNumId w:val="4"/>
  </w:num>
  <w:num w:numId="18">
    <w:abstractNumId w:val="17"/>
  </w:num>
  <w:num w:numId="19">
    <w:abstractNumId w:val="13"/>
  </w:num>
  <w:num w:numId="20">
    <w:abstractNumId w:val="6"/>
  </w:num>
  <w:num w:numId="21">
    <w:abstractNumId w:val="22"/>
  </w:num>
  <w:num w:numId="22">
    <w:abstractNumId w:val="5"/>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1"/>
    <w:rsid w:val="00024D97"/>
    <w:rsid w:val="00026A70"/>
    <w:rsid w:val="00036A7F"/>
    <w:rsid w:val="000742F6"/>
    <w:rsid w:val="00085B27"/>
    <w:rsid w:val="000A267F"/>
    <w:rsid w:val="000B10BB"/>
    <w:rsid w:val="000B5370"/>
    <w:rsid w:val="000D3DA4"/>
    <w:rsid w:val="001523C6"/>
    <w:rsid w:val="00176A5E"/>
    <w:rsid w:val="001B34BB"/>
    <w:rsid w:val="001C148B"/>
    <w:rsid w:val="001F1C74"/>
    <w:rsid w:val="001F48A7"/>
    <w:rsid w:val="00214FA3"/>
    <w:rsid w:val="00215A2D"/>
    <w:rsid w:val="00244128"/>
    <w:rsid w:val="00261B0C"/>
    <w:rsid w:val="00262B99"/>
    <w:rsid w:val="002C2E8A"/>
    <w:rsid w:val="002F7675"/>
    <w:rsid w:val="00341853"/>
    <w:rsid w:val="00341D2F"/>
    <w:rsid w:val="0035616E"/>
    <w:rsid w:val="00364040"/>
    <w:rsid w:val="0037315B"/>
    <w:rsid w:val="003A6092"/>
    <w:rsid w:val="003A6E3B"/>
    <w:rsid w:val="003B28F2"/>
    <w:rsid w:val="003B31F0"/>
    <w:rsid w:val="00436D15"/>
    <w:rsid w:val="0047687D"/>
    <w:rsid w:val="004B45D7"/>
    <w:rsid w:val="004E189D"/>
    <w:rsid w:val="005040D3"/>
    <w:rsid w:val="005867AA"/>
    <w:rsid w:val="005C3AFB"/>
    <w:rsid w:val="005C3FF7"/>
    <w:rsid w:val="005F0A42"/>
    <w:rsid w:val="00603FF1"/>
    <w:rsid w:val="00623F72"/>
    <w:rsid w:val="006A0983"/>
    <w:rsid w:val="006B353E"/>
    <w:rsid w:val="006C18FB"/>
    <w:rsid w:val="006E0AD2"/>
    <w:rsid w:val="006F6C3E"/>
    <w:rsid w:val="007019BB"/>
    <w:rsid w:val="00732539"/>
    <w:rsid w:val="00757CA0"/>
    <w:rsid w:val="0077623F"/>
    <w:rsid w:val="007C0210"/>
    <w:rsid w:val="007C3481"/>
    <w:rsid w:val="007C7FB3"/>
    <w:rsid w:val="007E5ADD"/>
    <w:rsid w:val="007E6063"/>
    <w:rsid w:val="00803DE6"/>
    <w:rsid w:val="0083726D"/>
    <w:rsid w:val="00852A04"/>
    <w:rsid w:val="0085712F"/>
    <w:rsid w:val="00885310"/>
    <w:rsid w:val="008A0445"/>
    <w:rsid w:val="00912CA3"/>
    <w:rsid w:val="00973F5C"/>
    <w:rsid w:val="00991239"/>
    <w:rsid w:val="009A7F3B"/>
    <w:rsid w:val="009B6317"/>
    <w:rsid w:val="009E1DC0"/>
    <w:rsid w:val="009E26F8"/>
    <w:rsid w:val="009E7F82"/>
    <w:rsid w:val="009F3B4B"/>
    <w:rsid w:val="00A0554A"/>
    <w:rsid w:val="00A24C2B"/>
    <w:rsid w:val="00A30999"/>
    <w:rsid w:val="00A323DC"/>
    <w:rsid w:val="00AB467A"/>
    <w:rsid w:val="00AD331A"/>
    <w:rsid w:val="00AF5902"/>
    <w:rsid w:val="00B142ED"/>
    <w:rsid w:val="00B621B8"/>
    <w:rsid w:val="00B7758D"/>
    <w:rsid w:val="00BD11BD"/>
    <w:rsid w:val="00BE0559"/>
    <w:rsid w:val="00BF4C55"/>
    <w:rsid w:val="00BF6051"/>
    <w:rsid w:val="00BF76B7"/>
    <w:rsid w:val="00C101D7"/>
    <w:rsid w:val="00C1303E"/>
    <w:rsid w:val="00C40CE9"/>
    <w:rsid w:val="00C40F3F"/>
    <w:rsid w:val="00CF7E4B"/>
    <w:rsid w:val="00D26E21"/>
    <w:rsid w:val="00D31F61"/>
    <w:rsid w:val="00D4758C"/>
    <w:rsid w:val="00D55A23"/>
    <w:rsid w:val="00D870DD"/>
    <w:rsid w:val="00DB1DB6"/>
    <w:rsid w:val="00DB5B20"/>
    <w:rsid w:val="00E36DA0"/>
    <w:rsid w:val="00E66584"/>
    <w:rsid w:val="00E71112"/>
    <w:rsid w:val="00E85C99"/>
    <w:rsid w:val="00E928E4"/>
    <w:rsid w:val="00F049EF"/>
    <w:rsid w:val="00F80181"/>
    <w:rsid w:val="00F90115"/>
    <w:rsid w:val="00FF6A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semiHidden/>
    <w:rsid w:val="00261B0C"/>
    <w:rPr>
      <w:rFonts w:ascii="Myriad Pro" w:hAnsi="Myriad Pro"/>
      <w:position w:val="6"/>
      <w:sz w:val="18"/>
    </w:rPr>
  </w:style>
  <w:style w:type="paragraph" w:styleId="FootnoteText">
    <w:name w:val="footnote text"/>
    <w:basedOn w:val="Normal"/>
    <w:link w:val="FootnoteTextChar"/>
    <w:semiHidden/>
    <w:rsid w:val="00261B0C"/>
    <w:rPr>
      <w:rFonts w:cs="Simplified Arabic Fixed"/>
      <w:noProof/>
      <w:sz w:val="18"/>
      <w:szCs w:val="20"/>
    </w:rPr>
  </w:style>
  <w:style w:type="character" w:customStyle="1" w:styleId="FootnoteTextChar">
    <w:name w:val="Footnote Text Char"/>
    <w:basedOn w:val="DefaultParagraphFont"/>
    <w:link w:val="FootnoteText"/>
    <w:semiHidden/>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uiPriority w:val="1"/>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paragraph" w:customStyle="1" w:styleId="Default">
    <w:name w:val="Default"/>
    <w:rsid w:val="00026A70"/>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semiHidden/>
    <w:rsid w:val="00261B0C"/>
    <w:rPr>
      <w:rFonts w:ascii="Myriad Pro" w:hAnsi="Myriad Pro"/>
      <w:position w:val="6"/>
      <w:sz w:val="18"/>
    </w:rPr>
  </w:style>
  <w:style w:type="paragraph" w:styleId="FootnoteText">
    <w:name w:val="footnote text"/>
    <w:basedOn w:val="Normal"/>
    <w:link w:val="FootnoteTextChar"/>
    <w:semiHidden/>
    <w:rsid w:val="00261B0C"/>
    <w:rPr>
      <w:rFonts w:cs="Simplified Arabic Fixed"/>
      <w:noProof/>
      <w:sz w:val="18"/>
      <w:szCs w:val="20"/>
    </w:rPr>
  </w:style>
  <w:style w:type="character" w:customStyle="1" w:styleId="FootnoteTextChar">
    <w:name w:val="Footnote Text Char"/>
    <w:basedOn w:val="DefaultParagraphFont"/>
    <w:link w:val="FootnoteText"/>
    <w:semiHidden/>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uiPriority w:val="1"/>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paragraph" w:customStyle="1" w:styleId="Default">
    <w:name w:val="Default"/>
    <w:rsid w:val="00026A70"/>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upload.wikimedia.org/wikipedia/commons/thumb/f/f6/Flag_of_Iraq.svg/225px-Flag_of_Iraq.svg.png"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raqnhdr3.files.wordpress.com/2015/01/iraqnhdr2014-english.pdf"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CDA538.29770530" TargetMode="External"/><Relationship Id="rId24" Type="http://schemas.openxmlformats.org/officeDocument/2006/relationships/footer" Target="footer4.xml"/><Relationship Id="rId32" Type="http://schemas.openxmlformats.org/officeDocument/2006/relationships/customXml" Target="../customXml/item7.xml"/><Relationship Id="rId5" Type="http://schemas.microsoft.com/office/2007/relationships/stylesWithEffects" Target="stylesWithEffects.xml"/><Relationship Id="rId15" Type="http://schemas.openxmlformats.org/officeDocument/2006/relationships/hyperlink" Target="https://iraqnhdr3.files.wordpress.com/2015/01/iraqnhdr2014-english.pdf"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oter" Target="footer3.xml"/><Relationship Id="rId27" Type="http://schemas.openxmlformats.org/officeDocument/2006/relationships/theme" Target="theme/theme1.xml"/><Relationship Id="rId30"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B"/>
    <w:rsid w:val="005B07DB"/>
    <w:rsid w:val="00D52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77764CD984E0B8C945D03F80DB9CE">
    <w:name w:val="DF277764CD984E0B8C945D03F80DB9CE"/>
    <w:rsid w:val="005B0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77764CD984E0B8C945D03F80DB9CE">
    <w:name w:val="DF277764CD984E0B8C945D03F80DB9CE"/>
    <w:rsid w:val="005B0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2015-03-30T09:00:00+00:00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8c7e1452-9b85-4ce4-9a23-b4c39eef87b5</TermId>
        </TermInfo>
      </Terms>
    </UNDPCountryTaxHTField0>
    <UndpOUCode xmlns="1ed4137b-41b2-488b-8250-6d369ec27664">IRQ</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305</Value>
      <Value>763</Value>
      <Value>1458</Value>
      <Value>1112</Value>
      <Value>1</Value>
      <Value>1462</Value>
    </TaxCatchAll>
    <c4e2ab2cc9354bbf9064eeb465a566ea xmlns="1ed4137b-41b2-488b-8250-6d369ec27664">
      <Terms xmlns="http://schemas.microsoft.com/office/infopath/2007/PartnerControls"/>
    </c4e2ab2cc9354bbf9064eeb465a566ea>
    <UndpProjectNo xmlns="1ed4137b-41b2-488b-8250-6d369ec27664">00059992</UndpProjectNo>
    <UndpDocStatus xmlns="1ed4137b-41b2-488b-8250-6d369ec27664">Draft</UndpDocStatus>
    <Outcome1 xmlns="f1161f5b-24a3-4c2d-bc81-44cb9325e8ee">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ATLASPDC-4-26722</_dlc_DocId>
    <_dlc_DocIdUrl xmlns="f1161f5b-24a3-4c2d-bc81-44cb9325e8ee">
      <Url>https://info.undp.org/docs/pdc/_layouts/DocIdRedir.aspx?ID=ATLASPDC-4-26722</Url>
      <Description>ATLASPDC-4-26722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overPageProperties xmlns="http://schemas.microsoft.com/office/2006/coverPageProps">
  <PublishDate/>
  <Abstract/>
  <CompanyAddress>2008</CompanyAddress>
  <CompanyPhone/>
  <CompanyFax/>
  <CompanyEmail/>
</CoverPageProperti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53C364AF-5A22-4896-AA76-A957ABD3225E}"/>
</file>

<file path=customXml/itemProps2.xml><?xml version="1.0" encoding="utf-8"?>
<ds:datastoreItem xmlns:ds="http://schemas.openxmlformats.org/officeDocument/2006/customXml" ds:itemID="{69EF894D-7A05-43EA-A501-41922FFD7F6C}"/>
</file>

<file path=customXml/itemProps3.xml><?xml version="1.0" encoding="utf-8"?>
<ds:datastoreItem xmlns:ds="http://schemas.openxmlformats.org/officeDocument/2006/customXml" ds:itemID="{AC73676D-421A-47D5-8A0A-8399833B9594}"/>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044AFE1-1283-453C-AAD4-0692DC779959}"/>
</file>

<file path=customXml/itemProps6.xml><?xml version="1.0" encoding="utf-8"?>
<ds:datastoreItem xmlns:ds="http://schemas.openxmlformats.org/officeDocument/2006/customXml" ds:itemID="{C5C58CBC-0967-4C57-A592-E6A9ADCE19E5}"/>
</file>

<file path=customXml/itemProps7.xml><?xml version="1.0" encoding="utf-8"?>
<ds:datastoreItem xmlns:ds="http://schemas.openxmlformats.org/officeDocument/2006/customXml" ds:itemID="{614C2B83-1F26-4171-832A-8355368C2E00}"/>
</file>

<file path=docProps/app.xml><?xml version="1.0" encoding="utf-8"?>
<Properties xmlns="http://schemas.openxmlformats.org/officeDocument/2006/extended-properties" xmlns:vt="http://schemas.openxmlformats.org/officeDocument/2006/docPropsVTypes">
  <Template>Normal.dotm</Template>
  <TotalTime>874</TotalTime>
  <Pages>16</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Annual Progress Report</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Annual Progress Report</dc:title>
  <dc:subject/>
  <dc:creator>Khalid Khalid</dc:creator>
  <cp:lastModifiedBy>Khalid Khalid</cp:lastModifiedBy>
  <cp:revision>14</cp:revision>
  <cp:lastPrinted>2008-12-03T07:20:00Z</cp:lastPrinted>
  <dcterms:created xsi:type="dcterms:W3CDTF">2015-03-15T08:22:00Z</dcterms:created>
  <dcterms:modified xsi:type="dcterms:W3CDTF">2015-03-25T10:57:00Z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1462;#Iraq|8c7e1452-9b85-4ce4-9a23-b4c39eef87b5</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305;#Human Development|7ad68aa6-2281-4fb0-9737-ffe0a8994ca4</vt:lpwstr>
  </property>
  <property fmtid="{D5CDD505-2E9C-101B-9397-08002B2CF9AE}" pid="16" name="Atlas Document Type">
    <vt:lpwstr>1112;#Progress Report|03c70d0e-c75e-4cfb-8288-e692640ede14</vt:lpwstr>
  </property>
  <property fmtid="{D5CDD505-2E9C-101B-9397-08002B2CF9AE}" pid="17" name="_dlc_DocIdItemGuid">
    <vt:lpwstr>4dc3f004-7ed6-4868-9900-3b68b22671e6</vt:lpwstr>
  </property>
  <property fmtid="{D5CDD505-2E9C-101B-9397-08002B2CF9AE}" pid="18" name="URL">
    <vt:lpwstr/>
  </property>
  <property fmtid="{D5CDD505-2E9C-101B-9397-08002B2CF9AE}" pid="19" name="DocumentSetDescription">
    <vt:lpwstr/>
  </property>
</Properties>
</file>